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2C451B" w14:textId="1C76FFD5" w:rsidR="002E0E21" w:rsidRPr="00A369D1" w:rsidRDefault="00D31E7C" w:rsidP="005F53C5">
      <w:pPr>
        <w:pStyle w:val="Red-Title"/>
        <w:rPr>
          <w:sz w:val="52"/>
          <w:szCs w:val="52"/>
        </w:rPr>
      </w:pPr>
      <w:r>
        <w:rPr>
          <w:sz w:val="52"/>
          <w:szCs w:val="52"/>
        </w:rPr>
        <w:t>Deontology</w:t>
      </w:r>
      <w:r w:rsidR="00A369D1">
        <w:rPr>
          <w:sz w:val="52"/>
          <w:szCs w:val="52"/>
        </w:rPr>
        <w:br/>
        <w:t>—</w:t>
      </w:r>
      <w:r w:rsidR="00A369D1">
        <w:rPr>
          <w:rFonts w:ascii="MingLiU" w:eastAsia="MingLiU" w:hAnsi="MingLiU" w:cs="MingLiU"/>
          <w:sz w:val="52"/>
          <w:szCs w:val="52"/>
        </w:rPr>
        <w:br/>
      </w:r>
      <w:r w:rsidR="00A369D1" w:rsidRPr="005F53C5">
        <w:rPr>
          <w:sz w:val="28"/>
          <w:szCs w:val="28"/>
        </w:rPr>
        <w:t xml:space="preserve">Affirmative Case by </w:t>
      </w:r>
      <w:r>
        <w:rPr>
          <w:sz w:val="28"/>
          <w:szCs w:val="28"/>
        </w:rPr>
        <w:t>Joel Erickson</w:t>
      </w:r>
    </w:p>
    <w:p w14:paraId="3924279D" w14:textId="26BDF7C2" w:rsidR="003148CE" w:rsidRDefault="00DB7A1F" w:rsidP="003148CE">
      <w:pPr>
        <w:spacing w:after="0"/>
        <w:ind w:left="-360"/>
      </w:pPr>
      <w:r>
        <w:rPr>
          <w:noProof/>
        </w:rPr>
        <w:drawing>
          <wp:inline distT="0" distB="0" distL="0" distR="0" wp14:anchorId="60D6A045" wp14:editId="57739B23">
            <wp:extent cx="6286138" cy="3607386"/>
            <wp:effectExtent l="152400" t="152400" r="165735" b="1778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shot 2016-11-23 07.25.57.jpg"/>
                    <pic:cNvPicPr/>
                  </pic:nvPicPr>
                  <pic:blipFill>
                    <a:blip r:embed="rId8" cstate="email">
                      <a:extLst>
                        <a:ext uri="{28A0092B-C50C-407E-A947-70E740481C1C}">
                          <a14:useLocalDpi xmlns:a14="http://schemas.microsoft.com/office/drawing/2010/main"/>
                        </a:ext>
                      </a:extLst>
                    </a:blip>
                    <a:stretch>
                      <a:fillRect/>
                    </a:stretch>
                  </pic:blipFill>
                  <pic:spPr>
                    <a:xfrm>
                      <a:off x="0" y="0"/>
                      <a:ext cx="6293766" cy="3611764"/>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1289DB1D" w14:textId="109FD028" w:rsidR="003148CE" w:rsidRPr="003148CE" w:rsidRDefault="003148CE" w:rsidP="003148CE">
      <w:pPr>
        <w:ind w:left="-360"/>
        <w:jc w:val="center"/>
        <w:rPr>
          <w:i/>
          <w:sz w:val="18"/>
          <w:szCs w:val="18"/>
        </w:rPr>
      </w:pPr>
      <w:r w:rsidRPr="003148CE">
        <w:rPr>
          <w:i/>
          <w:sz w:val="18"/>
          <w:szCs w:val="18"/>
        </w:rPr>
        <w:t>Immanuel Kant</w:t>
      </w:r>
    </w:p>
    <w:p w14:paraId="639EB896" w14:textId="6F8FF336" w:rsidR="00A545E4" w:rsidRDefault="00E30879" w:rsidP="003148CE">
      <w:r>
        <w:t xml:space="preserve">This case minimizes pragmatic concerns of results and effectiveness by framing the resolution in the context of </w:t>
      </w:r>
      <w:r w:rsidR="00964517">
        <w:t>ethical</w:t>
      </w:r>
      <w:r>
        <w:t xml:space="preserve"> imperatives</w:t>
      </w:r>
      <w:r w:rsidR="00964517">
        <w:t xml:space="preserve">. As such, </w:t>
      </w:r>
      <w:r w:rsidR="00AE326D">
        <w:t>you can supplant any negative who attempts to argue from a “results”-centric, consequentialist perspective by demonstrating that your mindset of deontology, as expressed in the first value link</w:t>
      </w:r>
      <w:r w:rsidR="005D4125">
        <w:t xml:space="preserve">, supersedes other concerns. </w:t>
      </w:r>
      <w:r w:rsidR="00053E2A">
        <w:t xml:space="preserve">If you run the value properly, “anti-ethics” negatives </w:t>
      </w:r>
      <w:r w:rsidR="008C2730">
        <w:t xml:space="preserve">(those </w:t>
      </w:r>
      <w:r w:rsidR="00053E2A">
        <w:t>who argue the round should exclude morality because different</w:t>
      </w:r>
      <w:r w:rsidR="008C2730">
        <w:t xml:space="preserve"> societies have disparate conceptions </w:t>
      </w:r>
      <w:r w:rsidR="00053E2A">
        <w:t>of justice</w:t>
      </w:r>
      <w:r w:rsidR="008C2730">
        <w:t>) will have difficulty refuting this case. Usually those arguments are more successful against generic values of “morality” or “justice,” but “deontology” carries a niche philosophical meaning</w:t>
      </w:r>
      <w:r w:rsidR="00622B22">
        <w:t xml:space="preserve"> with connotations of moral absolutes. Battles against pragmat</w:t>
      </w:r>
      <w:bookmarkStart w:id="0" w:name="_GoBack"/>
      <w:bookmarkEnd w:id="0"/>
      <w:r w:rsidR="00622B22">
        <w:t>ic neg</w:t>
      </w:r>
      <w:r w:rsidR="003148CE">
        <w:t>atives will be won on the value/</w:t>
      </w:r>
      <w:r w:rsidR="00622B22">
        <w:t>value link framework.</w:t>
      </w:r>
    </w:p>
    <w:p w14:paraId="551A9408" w14:textId="37F4C8A3" w:rsidR="00964517" w:rsidRDefault="00622B22" w:rsidP="003148CE">
      <w:r>
        <w:t>Negative cases that use “justice” as the value</w:t>
      </w:r>
      <w:r w:rsidR="00260198">
        <w:t xml:space="preserve"> will likely agree to the value framework and attempt to show that societies are morally obligated to punish criminals, either by displacing human dignity as the </w:t>
      </w:r>
      <w:r w:rsidR="00260198">
        <w:lastRenderedPageBreak/>
        <w:t>criterion or arguing that punishment and dignity are compatible. In the former instance, hammer the criterion links for why human dignity should be deemed the appropriate criterion for deontology. In the latter, emphasize the arguments in the first contention that retribution has no moral limits and that vengeance as the primary motivation perpetuates violence and suffering, suppressing dignity.</w:t>
      </w:r>
    </w:p>
    <w:p w14:paraId="12899D96" w14:textId="77777777" w:rsidR="00626537" w:rsidRDefault="00626537">
      <w:pPr>
        <w:spacing w:after="0" w:line="240" w:lineRule="auto"/>
      </w:pPr>
      <w:r>
        <w:br w:type="page"/>
      </w:r>
    </w:p>
    <w:p w14:paraId="4541449B" w14:textId="73F1D75B" w:rsidR="00A545E4" w:rsidRDefault="00A545E4" w:rsidP="00A545E4">
      <w:pPr>
        <w:pStyle w:val="Red-Title"/>
      </w:pPr>
      <w:r>
        <w:t>Deontology</w:t>
      </w:r>
    </w:p>
    <w:p w14:paraId="623C8062" w14:textId="58E0FBC8" w:rsidR="00377CB3" w:rsidRDefault="009B1420" w:rsidP="00D34021">
      <w:pPr>
        <w:ind w:left="720"/>
      </w:pPr>
      <w:bookmarkStart w:id="1" w:name="_Toc299719814"/>
      <w:r w:rsidRPr="009B1420">
        <w:t>“Human treatment may even render human a man in whom the image of God has long a</w:t>
      </w:r>
      <w:r w:rsidR="00D34021">
        <w:t>go been tarnished. It is these ‘unfortunates’</w:t>
      </w:r>
      <w:r w:rsidRPr="009B1420">
        <w:t xml:space="preserve"> that must be treated in the most human fashion. This is their salvation and their joy.”</w:t>
      </w:r>
      <w:r w:rsidR="003C1A8E">
        <w:rPr>
          <w:rStyle w:val="FootnoteReference"/>
        </w:rPr>
        <w:footnoteReference w:id="1"/>
      </w:r>
      <w:r w:rsidR="00377CB3">
        <w:t xml:space="preserve"> –Fyodor Dostoevsky</w:t>
      </w:r>
    </w:p>
    <w:p w14:paraId="021A19D4" w14:textId="0C16177D" w:rsidR="009B1420" w:rsidRDefault="00EB042A" w:rsidP="009B1420">
      <w:r>
        <w:t xml:space="preserve">Although criminals are </w:t>
      </w:r>
      <w:r w:rsidR="00CB7849">
        <w:t xml:space="preserve">the quintessential </w:t>
      </w:r>
      <w:r w:rsidR="00D34021">
        <w:t>“unfortunates,” as human beings</w:t>
      </w:r>
      <w:r w:rsidR="00CB7849">
        <w:t xml:space="preserve"> they deserve</w:t>
      </w:r>
      <w:r w:rsidR="00CC6353">
        <w:t xml:space="preserve"> humane</w:t>
      </w:r>
      <w:r w:rsidR="0061293E">
        <w:t xml:space="preserve"> treatment that </w:t>
      </w:r>
      <w:r w:rsidR="00D34021">
        <w:t>shield</w:t>
      </w:r>
      <w:r w:rsidR="0061293E">
        <w:t xml:space="preserve"> their intrinsic </w:t>
      </w:r>
      <w:r w:rsidR="00CC6353">
        <w:t>value</w:t>
      </w:r>
      <w:r w:rsidR="0061293E">
        <w:t xml:space="preserve">. </w:t>
      </w:r>
      <w:r w:rsidR="00CC6353">
        <w:t>It’s b</w:t>
      </w:r>
      <w:r w:rsidR="0061293E">
        <w:t xml:space="preserve">ecause retribution </w:t>
      </w:r>
      <w:r w:rsidR="00C4341B">
        <w:t>desecrates</w:t>
      </w:r>
      <w:r w:rsidR="0061293E">
        <w:t xml:space="preserve"> dignity but rehabilitation recognizes </w:t>
      </w:r>
      <w:r w:rsidR="00CC6353">
        <w:t xml:space="preserve">human worth that </w:t>
      </w:r>
      <w:r w:rsidR="009B1420">
        <w:t xml:space="preserve">I stand resolved: </w:t>
      </w:r>
      <w:r w:rsidR="009B1420" w:rsidRPr="00CC6353">
        <w:rPr>
          <w:i/>
        </w:rPr>
        <w:t>Rehabilitation ought to be valued above retribution in criminal justice systems.</w:t>
      </w:r>
    </w:p>
    <w:p w14:paraId="1DFF82EE" w14:textId="77777777" w:rsidR="00A369D1" w:rsidRPr="00A369D1" w:rsidRDefault="00A369D1" w:rsidP="008411E4">
      <w:pPr>
        <w:pStyle w:val="Heading1"/>
        <w:rPr>
          <w:rFonts w:eastAsia="Times New Roman"/>
        </w:rPr>
      </w:pPr>
      <w:r w:rsidRPr="00A369D1">
        <w:rPr>
          <w:rFonts w:eastAsia="Times New Roman"/>
        </w:rPr>
        <w:t>Definitions</w:t>
      </w:r>
      <w:bookmarkEnd w:id="1"/>
    </w:p>
    <w:p w14:paraId="055924BE" w14:textId="2B2626B2" w:rsidR="003C1A8E" w:rsidRPr="003C1A8E" w:rsidRDefault="003C1A8E" w:rsidP="008411E4">
      <w:r>
        <w:t xml:space="preserve">To dispel any misunderstanding, I’ll </w:t>
      </w:r>
      <w:r w:rsidR="00292EE6">
        <w:t>define</w:t>
      </w:r>
      <w:r>
        <w:t xml:space="preserve"> the key terms in the resolution.</w:t>
      </w:r>
    </w:p>
    <w:p w14:paraId="1473333E" w14:textId="0B4B67DC" w:rsidR="009945B0" w:rsidRDefault="009945B0" w:rsidP="00184DD1">
      <w:r>
        <w:rPr>
          <w:b/>
        </w:rPr>
        <w:t>R</w:t>
      </w:r>
      <w:r w:rsidR="000C7C52">
        <w:rPr>
          <w:b/>
        </w:rPr>
        <w:t>ehabilitation</w:t>
      </w:r>
      <w:r w:rsidR="003C1A8E">
        <w:t xml:space="preserve"> </w:t>
      </w:r>
      <w:r w:rsidR="00F65F68">
        <w:t>is teaching for</w:t>
      </w:r>
      <w:r>
        <w:t xml:space="preserve"> </w:t>
      </w:r>
      <w:r w:rsidR="00F65F68">
        <w:t xml:space="preserve">restoration. </w:t>
      </w:r>
      <w:r>
        <w:t xml:space="preserve">Merriam-Webster defines “rehabilitate” as </w:t>
      </w:r>
      <w:r w:rsidRPr="00184DD1">
        <w:t>“</w:t>
      </w:r>
      <w:r w:rsidR="00184DD1" w:rsidRPr="00184DD1">
        <w:t>to teach (a criminal in prison) to live a normal and productive life</w:t>
      </w:r>
      <w:r w:rsidR="00184DD1">
        <w:t>.”</w:t>
      </w:r>
      <w:r w:rsidR="00184DD1">
        <w:rPr>
          <w:rStyle w:val="FootnoteReference"/>
        </w:rPr>
        <w:footnoteReference w:id="2"/>
      </w:r>
    </w:p>
    <w:p w14:paraId="3C32A127" w14:textId="24AA54D9" w:rsidR="008411E4" w:rsidRDefault="000C7C52" w:rsidP="005901B3">
      <w:r>
        <w:rPr>
          <w:b/>
        </w:rPr>
        <w:t>Retribution</w:t>
      </w:r>
      <w:r w:rsidR="00F65F68">
        <w:t xml:space="preserve"> is punishment for vengeance. </w:t>
      </w:r>
      <w:r w:rsidR="00184DD1">
        <w:t xml:space="preserve">According to the New Oxford American Dictionary, “retribution” is </w:t>
      </w:r>
      <w:r w:rsidR="00184DD1" w:rsidRPr="005901B3">
        <w:t>“</w:t>
      </w:r>
      <w:r w:rsidR="005901B3">
        <w:t>p</w:t>
      </w:r>
      <w:r w:rsidR="005901B3" w:rsidRPr="005901B3">
        <w:t>unishment inflicted on someone as vengeance for a wrong or criminal act.</w:t>
      </w:r>
      <w:r w:rsidR="005901B3">
        <w:t>”</w:t>
      </w:r>
      <w:r w:rsidR="005901B3">
        <w:rPr>
          <w:rStyle w:val="FootnoteReference"/>
        </w:rPr>
        <w:footnoteReference w:id="3"/>
      </w:r>
    </w:p>
    <w:p w14:paraId="642DB40A" w14:textId="1BFC74AC" w:rsidR="007E10F2" w:rsidRPr="00184DD1" w:rsidRDefault="002B7BA8" w:rsidP="005901B3">
      <w:r>
        <w:t>To assess the merits of both sides of the resolution, I propose a standard, or weighing mechanis</w:t>
      </w:r>
      <w:r w:rsidR="003168F6">
        <w:t>m:</w:t>
      </w:r>
    </w:p>
    <w:p w14:paraId="438B91A6" w14:textId="6E80097E" w:rsidR="008411E4" w:rsidRDefault="008411E4" w:rsidP="00B75C99">
      <w:pPr>
        <w:pStyle w:val="Heading1"/>
        <w:rPr>
          <w:rFonts w:eastAsia="Times New Roman"/>
        </w:rPr>
      </w:pPr>
      <w:r>
        <w:rPr>
          <w:rFonts w:eastAsia="Times New Roman"/>
        </w:rPr>
        <w:t>Value: Deontology</w:t>
      </w:r>
    </w:p>
    <w:p w14:paraId="74C2397D" w14:textId="044D2212" w:rsidR="00141129" w:rsidRDefault="00125916" w:rsidP="00141129">
      <w:r>
        <w:t>Essentially, deontology refers to “the study of the nature of duty or obligation,”</w:t>
      </w:r>
      <w:r>
        <w:rPr>
          <w:rStyle w:val="FootnoteReference"/>
        </w:rPr>
        <w:footnoteReference w:id="4"/>
      </w:r>
      <w:r w:rsidR="00141129">
        <w:t xml:space="preserve"> </w:t>
      </w:r>
      <w:r>
        <w:t>derived from</w:t>
      </w:r>
      <w:r w:rsidR="0012035A">
        <w:t xml:space="preserve"> the Greek “deon,” meaning “duty.”</w:t>
      </w:r>
      <w:r w:rsidR="0012035A">
        <w:rPr>
          <w:rStyle w:val="FootnoteReference"/>
        </w:rPr>
        <w:footnoteReference w:id="5"/>
      </w:r>
      <w:r w:rsidR="00141129">
        <w:t xml:space="preserve"> Deontology</w:t>
      </w:r>
      <w:r w:rsidR="000E08D6">
        <w:t xml:space="preserve"> describes the realm of paramount moral concerns</w:t>
      </w:r>
      <w:r w:rsidR="00E370E3">
        <w:t>: W</w:t>
      </w:r>
      <w:r w:rsidR="000E08D6">
        <w:t xml:space="preserve">hat </w:t>
      </w:r>
      <w:r w:rsidR="00E370E3">
        <w:t xml:space="preserve">are our foremost duties? What are our </w:t>
      </w:r>
      <w:r w:rsidR="000E08D6">
        <w:t>binding</w:t>
      </w:r>
      <w:r w:rsidR="00E370E3">
        <w:t xml:space="preserve"> responsibilities?</w:t>
      </w:r>
      <w:r w:rsidR="0009709B">
        <w:t xml:space="preserve"> What ought we to do in a given situation?</w:t>
      </w:r>
    </w:p>
    <w:p w14:paraId="76263CFD" w14:textId="5CA1E4D4" w:rsidR="0009709B" w:rsidRDefault="00E370E3" w:rsidP="0078498E">
      <w:pPr>
        <w:pStyle w:val="Heading2"/>
      </w:pPr>
      <w:r>
        <w:t>Value Link</w:t>
      </w:r>
      <w:r w:rsidR="00141129">
        <w:t xml:space="preserve">: </w:t>
      </w:r>
      <w:r>
        <w:t xml:space="preserve">Morality is </w:t>
      </w:r>
      <w:r w:rsidR="00141129">
        <w:t>Primary</w:t>
      </w:r>
    </w:p>
    <w:p w14:paraId="5ACE5633" w14:textId="0BBA3D70" w:rsidR="003168F6" w:rsidRDefault="0078498E" w:rsidP="0009709B">
      <w:r>
        <w:t xml:space="preserve">Deontology ought to be the metric used for evaluating rehabilitation and retribution </w:t>
      </w:r>
      <w:r w:rsidR="003168F6">
        <w:t xml:space="preserve">because moral responsibility </w:t>
      </w:r>
      <w:r w:rsidR="005C469E">
        <w:t xml:space="preserve">is an </w:t>
      </w:r>
      <w:r w:rsidR="005C469E">
        <w:rPr>
          <w:i/>
        </w:rPr>
        <w:t xml:space="preserve">a </w:t>
      </w:r>
      <w:r w:rsidR="005C469E" w:rsidRPr="005C469E">
        <w:rPr>
          <w:i/>
        </w:rPr>
        <w:t>priori</w:t>
      </w:r>
      <w:r w:rsidR="005C469E">
        <w:t xml:space="preserve"> issue, preceding</w:t>
      </w:r>
      <w:r>
        <w:t xml:space="preserve"> all other concerns.</w:t>
      </w:r>
      <w:r w:rsidR="005C469E">
        <w:t xml:space="preserve"> Before </w:t>
      </w:r>
      <w:r w:rsidR="003168F6">
        <w:t>we investigate</w:t>
      </w:r>
      <w:r w:rsidR="005C469E">
        <w:t xml:space="preserve"> efficacy</w:t>
      </w:r>
      <w:r w:rsidR="003168F6">
        <w:t xml:space="preserve"> or workability, we must inquire about morality: “What is the right thing to do?” If a moral obligation exists, it is our duty as humans to strive to fulfill it. Deontology prescribes one major duty pertinent to this resolution, as codified in the criterion:</w:t>
      </w:r>
    </w:p>
    <w:p w14:paraId="005807F5" w14:textId="3FCA5B14" w:rsidR="00CF4114" w:rsidRPr="00CF4114" w:rsidRDefault="003168F6" w:rsidP="00CF4114">
      <w:pPr>
        <w:pStyle w:val="Heading1"/>
      </w:pPr>
      <w:r>
        <w:t xml:space="preserve">Criterion: Respecting </w:t>
      </w:r>
      <w:r w:rsidR="0009709B">
        <w:t>Human Dignity</w:t>
      </w:r>
    </w:p>
    <w:p w14:paraId="69142A8D" w14:textId="77777777" w:rsidR="0022293A" w:rsidRDefault="00CF4114" w:rsidP="00D34021">
      <w:pPr>
        <w:ind w:left="720"/>
      </w:pPr>
      <w:r>
        <w:t>“</w:t>
      </w:r>
      <w:r w:rsidRPr="00CF4114">
        <w:rPr>
          <w:sz w:val="12"/>
          <w:szCs w:val="12"/>
        </w:rPr>
        <w:t>Autonomy is part of the broader issue of</w:t>
      </w:r>
      <w:r>
        <w:t xml:space="preserve"> h</w:t>
      </w:r>
      <w:r w:rsidRPr="00E84527">
        <w:t>uman dignity</w:t>
      </w:r>
      <w:r w:rsidRPr="00CF4114">
        <w:rPr>
          <w:sz w:val="12"/>
          <w:szCs w:val="12"/>
        </w:rPr>
        <w:t>, that</w:t>
      </w:r>
      <w:r w:rsidRPr="00E84527">
        <w:t xml:space="preserve"> is, the obligation to treat people not merely as means, to be bought and sold and used, but as valuable and worthy of respect in themselves.</w:t>
      </w:r>
      <w:r>
        <w:t>”</w:t>
      </w:r>
      <w:r>
        <w:rPr>
          <w:rStyle w:val="FootnoteReference"/>
        </w:rPr>
        <w:footnoteReference w:id="6"/>
      </w:r>
    </w:p>
    <w:p w14:paraId="4C35E84B" w14:textId="45B14D65" w:rsidR="00CF4114" w:rsidRPr="00E84527" w:rsidRDefault="009A4E28" w:rsidP="00CF4114">
      <w:r>
        <w:t>There are two principal reasons why respecting human dignity is a suitable manifestation of deontology in the world of the resolution.</w:t>
      </w:r>
    </w:p>
    <w:p w14:paraId="3E67FC41" w14:textId="56C42B7A" w:rsidR="005560A1" w:rsidRDefault="005560A1" w:rsidP="00E34A6E">
      <w:pPr>
        <w:pStyle w:val="Heading2"/>
      </w:pPr>
      <w:r>
        <w:t xml:space="preserve">Criterion Link 1: </w:t>
      </w:r>
      <w:r w:rsidR="008E1299">
        <w:t>Moral Imperative</w:t>
      </w:r>
    </w:p>
    <w:p w14:paraId="29861F98" w14:textId="3925D2D3" w:rsidR="00F13DC7" w:rsidRPr="00F13DC7" w:rsidRDefault="009750CF" w:rsidP="00F13DC7">
      <w:r>
        <w:t xml:space="preserve">According to Immanuel Kant, the primary moral </w:t>
      </w:r>
      <w:r w:rsidR="00201E08">
        <w:t>imperative of deontology (what he refers to as the “humanity formulation” of the “categorical imperative”)</w:t>
      </w:r>
      <w:r>
        <w:t xml:space="preserve"> </w:t>
      </w:r>
      <w:r w:rsidR="00201E08">
        <w:t xml:space="preserve">is to </w:t>
      </w:r>
      <w:r w:rsidR="00201E08" w:rsidRPr="00201E08">
        <w:t>“act so as to treat people always as ends in themselves, never as mere means</w:t>
      </w:r>
      <w:r w:rsidR="00201E08">
        <w:t>.”</w:t>
      </w:r>
      <w:r w:rsidR="00867B1C">
        <w:rPr>
          <w:rStyle w:val="FootnoteReference"/>
        </w:rPr>
        <w:footnoteReference w:id="7"/>
      </w:r>
      <w:r w:rsidR="00D21ED1">
        <w:t xml:space="preserve"> Treating our fellow humans as ends is our first obligation as humans ourselves.</w:t>
      </w:r>
    </w:p>
    <w:p w14:paraId="7636B913" w14:textId="3DBDE5CE" w:rsidR="00E34A6E" w:rsidRDefault="008E1299" w:rsidP="009A4E28">
      <w:pPr>
        <w:pStyle w:val="Heading2"/>
      </w:pPr>
      <w:r>
        <w:t xml:space="preserve">Criterion Link 2: </w:t>
      </w:r>
      <w:r w:rsidR="00EF72F4">
        <w:t xml:space="preserve">Heart of </w:t>
      </w:r>
      <w:bookmarkStart w:id="2" w:name="_Toc299719816"/>
      <w:r w:rsidR="00867B1C">
        <w:t>Morality</w:t>
      </w:r>
    </w:p>
    <w:p w14:paraId="49DFA0FE" w14:textId="7BF3270F" w:rsidR="00637079" w:rsidRDefault="003A6D29" w:rsidP="00D21ED1">
      <w:r>
        <w:t>Our lives consist of multifarious interactions with other people</w:t>
      </w:r>
      <w:r w:rsidR="000E0FD7">
        <w:t>.</w:t>
      </w:r>
      <w:r w:rsidR="00091681">
        <w:t xml:space="preserve"> In fact, it would be fair to posit </w:t>
      </w:r>
      <w:r w:rsidR="002A11CF">
        <w:t>that we are defined by our relationships with others</w:t>
      </w:r>
      <w:r w:rsidR="00091681">
        <w:t>—</w:t>
      </w:r>
      <w:r w:rsidR="002A11CF">
        <w:t xml:space="preserve">from </w:t>
      </w:r>
      <w:r w:rsidR="00594CAC">
        <w:t xml:space="preserve">birth to death we constantly navigate relationships with </w:t>
      </w:r>
      <w:r w:rsidR="002A11CF">
        <w:t xml:space="preserve">parents, siblings, spouses, friends, teammates, </w:t>
      </w:r>
      <w:r w:rsidR="00594CAC">
        <w:t xml:space="preserve">coworkers, and society at large. Human dignity is the guiding principle of these interactions, </w:t>
      </w:r>
      <w:r w:rsidR="00F77CD3">
        <w:t>establishing our moral obligation to treat fellow people with respect, giving meaning to why “sins of interaction,” such as manipulation or murder, are morally degenerate.</w:t>
      </w:r>
    </w:p>
    <w:p w14:paraId="3A2E63AF" w14:textId="2264BB97" w:rsidR="00F77CD3" w:rsidRPr="00D21ED1" w:rsidRDefault="00F77CD3" w:rsidP="00D21ED1">
      <w:r>
        <w:t>Using deontology as a standard, I’ll contrast rehabilitation and retribution in two contentions.</w:t>
      </w:r>
    </w:p>
    <w:p w14:paraId="33C55607" w14:textId="3F11E124" w:rsidR="00A369D1" w:rsidRPr="00EF72F4" w:rsidRDefault="00A369D1" w:rsidP="00E34A6E">
      <w:pPr>
        <w:pStyle w:val="Heading1"/>
        <w:rPr>
          <w:rFonts w:eastAsia="Times New Roman"/>
        </w:rPr>
      </w:pPr>
      <w:r w:rsidRPr="00A369D1">
        <w:rPr>
          <w:rFonts w:eastAsia="Times New Roman"/>
        </w:rPr>
        <w:t xml:space="preserve">Contention 1: </w:t>
      </w:r>
      <w:bookmarkEnd w:id="2"/>
      <w:r w:rsidR="00DB081A">
        <w:rPr>
          <w:rFonts w:eastAsia="Times New Roman"/>
        </w:rPr>
        <w:t>Retribution I</w:t>
      </w:r>
      <w:r w:rsidR="00EF72F4">
        <w:rPr>
          <w:rFonts w:eastAsia="Times New Roman"/>
        </w:rPr>
        <w:t>s Inhumane</w:t>
      </w:r>
    </w:p>
    <w:p w14:paraId="34821D0A" w14:textId="190D6865" w:rsidR="00A369D1" w:rsidRDefault="009B0632" w:rsidP="00E34A6E">
      <w:pPr>
        <w:pStyle w:val="Heading2"/>
        <w:rPr>
          <w:rFonts w:eastAsia="Times New Roman"/>
        </w:rPr>
      </w:pPr>
      <w:r>
        <w:rPr>
          <w:rFonts w:eastAsia="Times New Roman"/>
        </w:rPr>
        <w:t>Sub-Point A:</w:t>
      </w:r>
      <w:r w:rsidR="00A369D1" w:rsidRPr="00A369D1">
        <w:rPr>
          <w:rFonts w:eastAsia="Times New Roman"/>
        </w:rPr>
        <w:t xml:space="preserve"> </w:t>
      </w:r>
      <w:r>
        <w:rPr>
          <w:rFonts w:eastAsia="Times New Roman"/>
        </w:rPr>
        <w:t>Retribution Has No Moral Limits</w:t>
      </w:r>
    </w:p>
    <w:p w14:paraId="46B1A1C1" w14:textId="18479360" w:rsidR="00F77CD3" w:rsidRDefault="00020983" w:rsidP="00F77CD3">
      <w:r>
        <w:t>Retribution is punishment inflicted as vengeance. Therefore, b</w:t>
      </w:r>
      <w:r w:rsidR="00F77CD3">
        <w:t xml:space="preserve">y definition, </w:t>
      </w:r>
      <w:r>
        <w:t>the sole motivation for retribution is vengeance</w:t>
      </w:r>
      <w:r w:rsidR="00E832D6">
        <w:t>, which renders prioritizing retribution to be detrimental to dignity. After all, vengeance is not a moral concern—</w:t>
      </w:r>
      <w:r w:rsidR="0005121A">
        <w:t>people frequently exact revenge</w:t>
      </w:r>
      <w:r w:rsidR="00E832D6">
        <w:t xml:space="preserve"> </w:t>
      </w:r>
      <w:r w:rsidR="0005121A">
        <w:t>in blind rage, sadistically,</w:t>
      </w:r>
      <w:r w:rsidR="00E832D6">
        <w:t xml:space="preserve"> </w:t>
      </w:r>
      <w:r w:rsidR="0005121A">
        <w:t>seeking only to quell their inner fury. When society adopts a position of punishing for vengeance, the consequences are detrimental for human dignity.</w:t>
      </w:r>
    </w:p>
    <w:p w14:paraId="5413D7B8" w14:textId="70E9B7B1" w:rsidR="0005121A" w:rsidRDefault="0005121A" w:rsidP="0005121A">
      <w:pPr>
        <w:pStyle w:val="Heading2"/>
      </w:pPr>
      <w:r>
        <w:t>Application: Medieval Executions</w:t>
      </w:r>
    </w:p>
    <w:p w14:paraId="0CED8213" w14:textId="29F4576A" w:rsidR="0005121A" w:rsidRPr="0005121A" w:rsidRDefault="0005121A" w:rsidP="0005121A">
      <w:r>
        <w:t>When we examine the medieval era, we find the exemplar of punishment inflicted as vengeance.</w:t>
      </w:r>
      <w:r w:rsidR="005E463F">
        <w:t xml:space="preserve"> Branding criminals, burning criminals at the stake,</w:t>
      </w:r>
      <w:r w:rsidR="001A3DE9">
        <w:t xml:space="preserve"> flaying criminals, flogging criminals, drawing and quartering criminals, and mutilating criminals are only a few of the punishments applied by societies in the Middle Ages.</w:t>
      </w:r>
      <w:r w:rsidR="001A3DE9">
        <w:rPr>
          <w:rStyle w:val="FootnoteReference"/>
        </w:rPr>
        <w:footnoteReference w:id="8"/>
      </w:r>
      <w:r w:rsidR="00013A4C">
        <w:t xml:space="preserve"> They meted out such punishments solely for the sake of vengeance—because revenge has no moral limitations. </w:t>
      </w:r>
    </w:p>
    <w:p w14:paraId="5AB3CDB7" w14:textId="0C12CCB1" w:rsidR="00A369D1" w:rsidRDefault="009B0632" w:rsidP="00E34A6E">
      <w:pPr>
        <w:pStyle w:val="Heading2"/>
        <w:rPr>
          <w:rFonts w:eastAsia="Times New Roman"/>
        </w:rPr>
      </w:pPr>
      <w:r>
        <w:rPr>
          <w:rFonts w:eastAsia="Times New Roman"/>
        </w:rPr>
        <w:t>Sub-Point B</w:t>
      </w:r>
      <w:r w:rsidR="00A369D1" w:rsidRPr="00A369D1">
        <w:rPr>
          <w:rFonts w:eastAsia="Times New Roman"/>
        </w:rPr>
        <w:t xml:space="preserve">: </w:t>
      </w:r>
      <w:r w:rsidR="00010029">
        <w:rPr>
          <w:rFonts w:eastAsia="Times New Roman"/>
        </w:rPr>
        <w:t>Retribution Perpetuates Violence</w:t>
      </w:r>
    </w:p>
    <w:p w14:paraId="6225D23E" w14:textId="77777777" w:rsidR="00A06166" w:rsidRDefault="00E14960" w:rsidP="002B7BA8">
      <w:r>
        <w:t xml:space="preserve">Former Supreme Court Justice Oliver Wendell Holmes put it best in </w:t>
      </w:r>
      <w:r>
        <w:rPr>
          <w:i/>
        </w:rPr>
        <w:t xml:space="preserve">The </w:t>
      </w:r>
      <w:r w:rsidRPr="00E14960">
        <w:rPr>
          <w:i/>
        </w:rPr>
        <w:t>Common Law</w:t>
      </w:r>
      <w:r>
        <w:t xml:space="preserve">, </w:t>
      </w:r>
    </w:p>
    <w:p w14:paraId="67CED9B6" w14:textId="4B6FE18E" w:rsidR="00A06166" w:rsidRDefault="00E14960" w:rsidP="00A06166">
      <w:pPr>
        <w:ind w:left="720"/>
      </w:pPr>
      <w:r w:rsidRPr="00E14960">
        <w:t>“A pain can be inflicted upon the wrong-doer, of a sort which does not restore the injured party to his former situation, or to another equally good, but which is inflicted for the very purpose of causing pain. And so far as this punishment takes the place of compensation, whether on account of the death of the person to whom the wrong was done, the indefinite number of persons affected, the impossibility of estimating the worth of the suffering in money, or the poverty of the criminal, it may be said that one of its objects is to gratify the desire for vengeance. The prisoner pays with his body.</w:t>
      </w:r>
      <w:r>
        <w:t>”</w:t>
      </w:r>
      <w:r w:rsidR="00DB081A">
        <w:rPr>
          <w:rStyle w:val="FootnoteReference"/>
        </w:rPr>
        <w:footnoteReference w:id="9"/>
      </w:r>
      <w:r w:rsidR="0077524E">
        <w:t xml:space="preserve"> </w:t>
      </w:r>
    </w:p>
    <w:p w14:paraId="1DCA5387" w14:textId="0582FFC0" w:rsidR="00013A4C" w:rsidRPr="002B7BA8" w:rsidRDefault="0077524E" w:rsidP="002B7BA8">
      <w:r>
        <w:t>Retribution doesn’t heal harms; it aggravates them.</w:t>
      </w:r>
    </w:p>
    <w:p w14:paraId="3095E3BC" w14:textId="441A5E01" w:rsidR="00A369D1" w:rsidRDefault="00A369D1" w:rsidP="00E34A6E">
      <w:pPr>
        <w:pStyle w:val="Heading1"/>
        <w:rPr>
          <w:rFonts w:eastAsia="Times New Roman"/>
        </w:rPr>
      </w:pPr>
      <w:bookmarkStart w:id="3" w:name="_Toc299719817"/>
      <w:r w:rsidRPr="00A369D1">
        <w:rPr>
          <w:rFonts w:eastAsia="Times New Roman"/>
        </w:rPr>
        <w:t xml:space="preserve">Contention 2: </w:t>
      </w:r>
      <w:bookmarkEnd w:id="3"/>
      <w:r w:rsidR="00EF72F4">
        <w:rPr>
          <w:rFonts w:eastAsia="Times New Roman"/>
        </w:rPr>
        <w:t>Rehabilitation</w:t>
      </w:r>
      <w:r w:rsidR="0087556D">
        <w:rPr>
          <w:rFonts w:eastAsia="Times New Roman"/>
        </w:rPr>
        <w:t xml:space="preserve"> Respects</w:t>
      </w:r>
      <w:r w:rsidR="00B1379A">
        <w:rPr>
          <w:rFonts w:eastAsia="Times New Roman"/>
        </w:rPr>
        <w:t xml:space="preserve"> Human</w:t>
      </w:r>
      <w:r w:rsidR="0087556D">
        <w:rPr>
          <w:rFonts w:eastAsia="Times New Roman"/>
        </w:rPr>
        <w:t xml:space="preserve"> Dignity</w:t>
      </w:r>
    </w:p>
    <w:p w14:paraId="128F661F" w14:textId="2BA721D5" w:rsidR="0077524E" w:rsidRPr="0077524E" w:rsidRDefault="0077524E" w:rsidP="0077524E">
      <w:r>
        <w:t>On the contrary, rehabilitation teaches prisoners to lead a more productive life, while at the same time affirming their dignity.</w:t>
      </w:r>
    </w:p>
    <w:p w14:paraId="42952707" w14:textId="7199C78C" w:rsidR="00B1379A" w:rsidRDefault="00B1379A" w:rsidP="00E34A6E">
      <w:pPr>
        <w:pStyle w:val="Heading2"/>
      </w:pPr>
      <w:r>
        <w:t>Application: Norway</w:t>
      </w:r>
    </w:p>
    <w:p w14:paraId="3969B100" w14:textId="1E5C7BA9" w:rsidR="00445CCC" w:rsidRDefault="002B04E4" w:rsidP="003E05CE">
      <w:pPr>
        <w:rPr>
          <w:color w:val="000000" w:themeColor="text1"/>
        </w:rPr>
      </w:pPr>
      <w:r>
        <w:t xml:space="preserve">Norwegian prisons are renowned for their successful implementation of rehabilitation methods, </w:t>
      </w:r>
      <w:r w:rsidR="003E05CE">
        <w:t>treating prisoners humanely while preparing them for reintegration into society.</w:t>
      </w:r>
      <w:r>
        <w:t xml:space="preserve"> </w:t>
      </w:r>
      <w:r w:rsidR="003E05CE">
        <w:t xml:space="preserve">According to </w:t>
      </w:r>
      <w:r w:rsidR="00A64A7B">
        <w:t xml:space="preserve">an article in </w:t>
      </w:r>
      <w:r w:rsidR="00A64A7B">
        <w:rPr>
          <w:i/>
        </w:rPr>
        <w:t>The Atlantic</w:t>
      </w:r>
      <w:r w:rsidR="00A64A7B">
        <w:t>, a Norwegian prison fact sheet reads</w:t>
      </w:r>
      <w:r w:rsidR="00445CCC">
        <w:t>,</w:t>
      </w:r>
      <w:r w:rsidR="00A64A7B">
        <w:rPr>
          <w:color w:val="000000" w:themeColor="text1"/>
        </w:rPr>
        <w:t xml:space="preserve"> </w:t>
      </w:r>
    </w:p>
    <w:p w14:paraId="06FEACF8" w14:textId="77777777" w:rsidR="00445CCC" w:rsidRDefault="00A64A7B" w:rsidP="00445CCC">
      <w:pPr>
        <w:ind w:left="720"/>
        <w:rPr>
          <w:color w:val="000000" w:themeColor="text1"/>
        </w:rPr>
      </w:pPr>
      <w:r>
        <w:rPr>
          <w:color w:val="000000" w:themeColor="text1"/>
        </w:rPr>
        <w:t>“</w:t>
      </w:r>
      <w:r w:rsidR="003E05CE" w:rsidRPr="003E05CE">
        <w:rPr>
          <w:color w:val="000000" w:themeColor="text1"/>
        </w:rPr>
        <w:t xml:space="preserve">The punishment is the restriction of liberty; no </w:t>
      </w:r>
      <w:r w:rsidR="003E05CE">
        <w:rPr>
          <w:color w:val="000000" w:themeColor="text1"/>
        </w:rPr>
        <w:t>other rights have been removed</w:t>
      </w:r>
      <w:r w:rsidR="00445CCC">
        <w:rPr>
          <w:color w:val="000000" w:themeColor="text1"/>
        </w:rPr>
        <w:t>,”</w:t>
      </w:r>
      <w:r>
        <w:rPr>
          <w:color w:val="000000" w:themeColor="text1"/>
        </w:rPr>
        <w:t xml:space="preserve"> reads a fact sheet o</w:t>
      </w:r>
      <w:r w:rsidR="00445CCC">
        <w:rPr>
          <w:color w:val="000000" w:themeColor="text1"/>
        </w:rPr>
        <w:t>n criminal services in Norway. “</w:t>
      </w:r>
      <w:r w:rsidR="003E05CE" w:rsidRPr="003E05CE">
        <w:rPr>
          <w:color w:val="000000" w:themeColor="text1"/>
        </w:rPr>
        <w:t>During the serving of a sentence, life inside will resemble life outside as much as possible. You need a reason to deny a sentenced offender his rights, not to grant them. Progression through a sentence should be aimed as much as possible at returning to the community. The more closed a system is, the harder it will be to return to freedom.”</w:t>
      </w:r>
      <w:r w:rsidR="00794900">
        <w:rPr>
          <w:rStyle w:val="FootnoteReference"/>
        </w:rPr>
        <w:footnoteReference w:id="10"/>
      </w:r>
      <w:r>
        <w:rPr>
          <w:color w:val="000000" w:themeColor="text1"/>
        </w:rPr>
        <w:t xml:space="preserve"> </w:t>
      </w:r>
    </w:p>
    <w:p w14:paraId="13B7FACE" w14:textId="0122889C" w:rsidR="003E05CE" w:rsidRPr="00A64A7B" w:rsidRDefault="00A64A7B" w:rsidP="003E05CE">
      <w:r>
        <w:rPr>
          <w:color w:val="000000" w:themeColor="text1"/>
        </w:rPr>
        <w:t xml:space="preserve">Norway respects human dignity by rehabilitating criminals instead of </w:t>
      </w:r>
      <w:r w:rsidR="00794900">
        <w:rPr>
          <w:color w:val="000000" w:themeColor="text1"/>
        </w:rPr>
        <w:t xml:space="preserve">punishing them </w:t>
      </w:r>
      <w:r w:rsidR="00445CCC">
        <w:rPr>
          <w:color w:val="000000" w:themeColor="text1"/>
        </w:rPr>
        <w:t>out of</w:t>
      </w:r>
      <w:r w:rsidR="00794900">
        <w:rPr>
          <w:color w:val="000000" w:themeColor="text1"/>
        </w:rPr>
        <w:t xml:space="preserve"> vengeance.</w:t>
      </w:r>
    </w:p>
    <w:p w14:paraId="014E824F" w14:textId="77777777" w:rsidR="00A369D1" w:rsidRPr="00A369D1" w:rsidRDefault="00A369D1" w:rsidP="00E34A6E">
      <w:pPr>
        <w:pStyle w:val="Heading1"/>
        <w:rPr>
          <w:rFonts w:eastAsia="Times New Roman"/>
        </w:rPr>
      </w:pPr>
      <w:bookmarkStart w:id="4" w:name="_Toc299719818"/>
      <w:r w:rsidRPr="00A369D1">
        <w:rPr>
          <w:rFonts w:eastAsia="Times New Roman"/>
        </w:rPr>
        <w:t>Conclusion</w:t>
      </w:r>
      <w:bookmarkEnd w:id="4"/>
    </w:p>
    <w:p w14:paraId="59E3AEBD" w14:textId="5EDC1B40" w:rsidR="00A369D1" w:rsidRPr="00A369D1" w:rsidRDefault="00445CCC" w:rsidP="008411E4">
      <w:r>
        <w:t>Even if</w:t>
      </w:r>
      <w:r w:rsidR="00BA59EE">
        <w:t xml:space="preserve"> “unfortunate</w:t>
      </w:r>
      <w:r>
        <w:t>s” violate the</w:t>
      </w:r>
      <w:r w:rsidR="00BA59EE">
        <w:t xml:space="preserve"> law, deontology dictates that we still ought to treat them with dignity and respect. Whereas retribution </w:t>
      </w:r>
      <w:r w:rsidR="00E30879">
        <w:t>lacks any inherent moral parameters, rehabilitating criminals</w:t>
      </w:r>
      <w:r w:rsidR="00867B1C">
        <w:t xml:space="preserve"> respects them as humans. Don’t vote for vengeance</w:t>
      </w:r>
      <w:r w:rsidR="00637079">
        <w:t>, but for teaching, and affirm the resolution.</w:t>
      </w:r>
    </w:p>
    <w:p w14:paraId="0EB365F3" w14:textId="0D5B1043" w:rsidR="00A369D1" w:rsidRPr="00A369D1" w:rsidRDefault="00A369D1" w:rsidP="005F53C5">
      <w:pPr>
        <w:pStyle w:val="Red-Title"/>
      </w:pPr>
      <w:bookmarkStart w:id="5" w:name="_Toc299719819"/>
      <w:r w:rsidRPr="00A369D1">
        <w:t xml:space="preserve">Negative Brief: </w:t>
      </w:r>
      <w:bookmarkEnd w:id="5"/>
      <w:r w:rsidR="00AC2437">
        <w:t>Deontology</w:t>
      </w:r>
    </w:p>
    <w:p w14:paraId="0BD8916E" w14:textId="6F48BAA8" w:rsidR="00A369D1" w:rsidRDefault="00260198" w:rsidP="005F53C5">
      <w:r>
        <w:t xml:space="preserve">Many cultures, philosophers, and moral traditions </w:t>
      </w:r>
      <w:r w:rsidR="00767189">
        <w:t>concur that a crime creates a moral debt that necessitates recompense or requital.</w:t>
      </w:r>
      <w:r w:rsidR="00E95F1A">
        <w:rPr>
          <w:rStyle w:val="FootnoteReference"/>
        </w:rPr>
        <w:footnoteReference w:id="11"/>
      </w:r>
      <w:r w:rsidR="00767189">
        <w:t xml:space="preserve"> As “teaching for restoration,” does </w:t>
      </w:r>
      <w:r w:rsidR="00956CC1">
        <w:t>rehabilitation really satisfy this ethical demand? Maybe retribution sometimes goes too far in extreme circumstances, but does rehabilitation ever achieve deontology? If you take this approach, demolish the second contention</w:t>
      </w:r>
      <w:r w:rsidR="00D11DFF">
        <w:t xml:space="preserve"> and cast the first contention as “fringe” or “extreme,” then show how you beat the affirmative on his or her own ground.</w:t>
      </w:r>
    </w:p>
    <w:p w14:paraId="233ADD93" w14:textId="7232C895" w:rsidR="00D11DFF" w:rsidRPr="00A369D1" w:rsidRDefault="00D11DFF" w:rsidP="00704B23">
      <w:r>
        <w:t>Another weak link in this case is the definition of “retribution.” Show that retribution is not correlated to vengeance and you undermine a key element of this case.</w:t>
      </w:r>
      <w:r w:rsidR="00E95F1A">
        <w:t xml:space="preserve"> Definitions of retribution that do not include the word “vengeance” abound.</w:t>
      </w:r>
      <w:r w:rsidR="00E95F1A">
        <w:rPr>
          <w:rStyle w:val="FootnoteReference"/>
        </w:rPr>
        <w:footnoteReference w:id="12"/>
      </w:r>
      <w:r w:rsidR="006C70B8" w:rsidRPr="006C70B8">
        <w:rPr>
          <w:vertAlign w:val="superscript"/>
        </w:rPr>
        <w:t>,</w:t>
      </w:r>
      <w:r w:rsidR="006C70B8">
        <w:rPr>
          <w:rStyle w:val="FootnoteReference"/>
        </w:rPr>
        <w:footnoteReference w:id="13"/>
      </w:r>
    </w:p>
    <w:p w14:paraId="0E4FEC2D" w14:textId="460C200B" w:rsidR="00AF326B" w:rsidRPr="002E0E21" w:rsidRDefault="00704B23" w:rsidP="00704B23">
      <w:r>
        <w:t>One last possible avenue against the case—does rehabilitation really respect human dignity? Many scholars, including C.S. Lewis in</w:t>
      </w:r>
      <w:r w:rsidR="00C4341B">
        <w:t xml:space="preserve"> “The Humanitarian Theory of Punishment,” disagree and claim that rehabilitative measures degrade dignity.</w:t>
      </w:r>
      <w:r w:rsidR="00C4341B">
        <w:rPr>
          <w:rStyle w:val="FootnoteReference"/>
        </w:rPr>
        <w:footnoteReference w:id="14"/>
      </w:r>
      <w:r w:rsidR="0022293A">
        <w:t xml:space="preserve"> A combination of these three would make for the best strategy against this case.</w:t>
      </w:r>
    </w:p>
    <w:sectPr w:rsidR="00AF326B" w:rsidRPr="002E0E21"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4B721B" w14:textId="77777777" w:rsidR="00F74ACD" w:rsidRDefault="00F74ACD" w:rsidP="002E0E21">
      <w:r>
        <w:separator/>
      </w:r>
    </w:p>
  </w:endnote>
  <w:endnote w:type="continuationSeparator" w:id="0">
    <w:p w14:paraId="41DE42C7" w14:textId="77777777" w:rsidR="00F74ACD" w:rsidRDefault="00F74ACD" w:rsidP="002E0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MingLiU">
    <w:panose1 w:val="02020509000000000000"/>
    <w:charset w:val="88"/>
    <w:family w:val="auto"/>
    <w:pitch w:val="variable"/>
    <w:sig w:usb0="A00002FF" w:usb1="28CFFCFA" w:usb2="00000016" w:usb3="00000000" w:csb0="00100001" w:csb1="00000000"/>
  </w:font>
  <w:font w:name="SourceSansPro-Regular">
    <w:altName w:val="Corbe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6BA8B" w14:textId="1DBD5B1E" w:rsidR="005F53C5" w:rsidRDefault="005F53C5" w:rsidP="005F53C5">
    <w:pPr>
      <w:pStyle w:val="Footer"/>
      <w:tabs>
        <w:tab w:val="clear" w:pos="4680"/>
        <w:tab w:val="clear" w:pos="9360"/>
        <w:tab w:val="center" w:pos="5040"/>
        <w:tab w:val="right" w:pos="9936"/>
      </w:tabs>
      <w:spacing w:before="240"/>
      <w:ind w:right="-331"/>
    </w:pPr>
    <w:r>
      <w:rPr>
        <w:sz w:val="18"/>
        <w:szCs w:val="18"/>
      </w:rPr>
      <w:t xml:space="preserve">2016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F74ACD">
      <w:rPr>
        <w:noProof/>
      </w:rPr>
      <w:t>1</w:t>
    </w:r>
    <w:r w:rsidRPr="0018486A">
      <w:rPr>
        <w:b/>
      </w:rPr>
      <w:fldChar w:fldCharType="end"/>
    </w:r>
    <w:r w:rsidRPr="0018486A">
      <w:t xml:space="preserve"> of </w:t>
    </w:r>
    <w:r w:rsidR="00F74ACD">
      <w:fldChar w:fldCharType="begin"/>
    </w:r>
    <w:r w:rsidR="00F74ACD">
      <w:instrText xml:space="preserve"> NUMPAGES </w:instrText>
    </w:r>
    <w:r w:rsidR="00F74ACD">
      <w:fldChar w:fldCharType="separate"/>
    </w:r>
    <w:r w:rsidR="00F74ACD">
      <w:rPr>
        <w:noProof/>
      </w:rPr>
      <w:t>1</w:t>
    </w:r>
    <w:r w:rsidR="00F74ACD">
      <w:rPr>
        <w:noProof/>
      </w:rPr>
      <w:fldChar w:fldCharType="end"/>
    </w:r>
    <w:r>
      <w:tab/>
    </w:r>
    <w:r>
      <w:rPr>
        <w:sz w:val="18"/>
        <w:szCs w:val="18"/>
      </w:rPr>
      <w:t xml:space="preserve">Published </w:t>
    </w:r>
    <w:r w:rsidR="00445CCC">
      <w:rPr>
        <w:sz w:val="18"/>
        <w:szCs w:val="18"/>
      </w:rPr>
      <w:t>10</w:t>
    </w:r>
    <w:r>
      <w:rPr>
        <w:sz w:val="18"/>
        <w:szCs w:val="18"/>
      </w:rPr>
      <w:t>/</w:t>
    </w:r>
    <w:r w:rsidR="00445CCC">
      <w:rPr>
        <w:sz w:val="18"/>
        <w:szCs w:val="18"/>
      </w:rPr>
      <w:t>3</w:t>
    </w:r>
    <w:r>
      <w:rPr>
        <w:sz w:val="18"/>
        <w:szCs w:val="18"/>
      </w:rPr>
      <w:t>1/16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31DD0E" w14:textId="77777777" w:rsidR="00F74ACD" w:rsidRDefault="00F74ACD" w:rsidP="002E0E21">
      <w:r>
        <w:separator/>
      </w:r>
    </w:p>
  </w:footnote>
  <w:footnote w:type="continuationSeparator" w:id="0">
    <w:p w14:paraId="753BD764" w14:textId="77777777" w:rsidR="00F74ACD" w:rsidRDefault="00F74ACD" w:rsidP="002E0E21">
      <w:r>
        <w:continuationSeparator/>
      </w:r>
    </w:p>
  </w:footnote>
  <w:footnote w:id="1">
    <w:p w14:paraId="1E9B8D95" w14:textId="59C50E7E" w:rsidR="003C1A8E" w:rsidRDefault="003C1A8E">
      <w:pPr>
        <w:pStyle w:val="FootnoteText"/>
      </w:pPr>
      <w:r>
        <w:rPr>
          <w:rStyle w:val="FootnoteReference"/>
        </w:rPr>
        <w:footnoteRef/>
      </w:r>
      <w:r>
        <w:t xml:space="preserve"> Do</w:t>
      </w:r>
      <w:r w:rsidR="004B0DAE">
        <w:t xml:space="preserve">stoevsky, Fyodor. “The House of the Dead,” </w:t>
      </w:r>
      <w:r w:rsidR="00980ABC">
        <w:t>1862.</w:t>
      </w:r>
      <w:r w:rsidR="00394FF7">
        <w:t xml:space="preserve"> </w:t>
      </w:r>
      <w:hyperlink r:id="rId1" w:history="1">
        <w:r w:rsidR="00980ABC" w:rsidRPr="00D55AFB">
          <w:rPr>
            <w:rStyle w:val="Hyperlink"/>
          </w:rPr>
          <w:t>http://www.goodreads.com/work/quotes/320469</w:t>
        </w:r>
      </w:hyperlink>
      <w:r w:rsidR="00980ABC">
        <w:t xml:space="preserve"> </w:t>
      </w:r>
    </w:p>
  </w:footnote>
  <w:footnote w:id="2">
    <w:p w14:paraId="7F26C2EA" w14:textId="7F40D8C3" w:rsidR="00184DD1" w:rsidRDefault="00184DD1">
      <w:pPr>
        <w:pStyle w:val="FootnoteText"/>
      </w:pPr>
      <w:r>
        <w:rPr>
          <w:rStyle w:val="FootnoteReference"/>
        </w:rPr>
        <w:footnoteRef/>
      </w:r>
      <w:r>
        <w:t xml:space="preserve"> “Rehabilitation,” Merriam-Webster, 2016. </w:t>
      </w:r>
      <w:hyperlink r:id="rId2" w:history="1">
        <w:r w:rsidRPr="00D55AFB">
          <w:rPr>
            <w:rStyle w:val="Hyperlink"/>
          </w:rPr>
          <w:t>http://www.merriam-webster.com/dictionary/rehabilitation</w:t>
        </w:r>
      </w:hyperlink>
      <w:r>
        <w:t xml:space="preserve"> </w:t>
      </w:r>
    </w:p>
  </w:footnote>
  <w:footnote w:id="3">
    <w:p w14:paraId="1076C358" w14:textId="0228B3A2" w:rsidR="005901B3" w:rsidRDefault="005901B3">
      <w:pPr>
        <w:pStyle w:val="FootnoteText"/>
      </w:pPr>
      <w:r>
        <w:rPr>
          <w:rStyle w:val="FootnoteReference"/>
        </w:rPr>
        <w:footnoteRef/>
      </w:r>
      <w:r>
        <w:t xml:space="preserve"> </w:t>
      </w:r>
      <w:r w:rsidR="00B75C99">
        <w:t xml:space="preserve">“Retribution,” Oxford Dictionaries, 2016. </w:t>
      </w:r>
      <w:hyperlink r:id="rId3" w:history="1">
        <w:r w:rsidR="00B75C99" w:rsidRPr="00D55AFB">
          <w:rPr>
            <w:rStyle w:val="Hyperlink"/>
          </w:rPr>
          <w:t>https://en.oxforddictionaries.com/definition/retribution</w:t>
        </w:r>
      </w:hyperlink>
      <w:r w:rsidR="00B75C99">
        <w:t xml:space="preserve"> </w:t>
      </w:r>
    </w:p>
  </w:footnote>
  <w:footnote w:id="4">
    <w:p w14:paraId="16C07263" w14:textId="77777777" w:rsidR="00125916" w:rsidRDefault="00125916" w:rsidP="00125916">
      <w:pPr>
        <w:pStyle w:val="FootnoteText"/>
      </w:pPr>
      <w:r>
        <w:rPr>
          <w:rStyle w:val="FootnoteReference"/>
        </w:rPr>
        <w:footnoteRef/>
      </w:r>
      <w:r>
        <w:t xml:space="preserve"> “Deontology,” Oxford Dictionaries, 2016. </w:t>
      </w:r>
      <w:hyperlink r:id="rId4" w:history="1">
        <w:r w:rsidRPr="00D55AFB">
          <w:rPr>
            <w:rStyle w:val="Hyperlink"/>
          </w:rPr>
          <w:t>https://en.oxforddictionaries.com/definition/deontology</w:t>
        </w:r>
      </w:hyperlink>
      <w:r>
        <w:t xml:space="preserve"> </w:t>
      </w:r>
    </w:p>
  </w:footnote>
  <w:footnote w:id="5">
    <w:p w14:paraId="0986BC8D" w14:textId="18A17042" w:rsidR="0012035A" w:rsidRDefault="0012035A" w:rsidP="0012035A">
      <w:pPr>
        <w:pStyle w:val="FootnoteText"/>
      </w:pPr>
      <w:r>
        <w:rPr>
          <w:rStyle w:val="FootnoteReference"/>
        </w:rPr>
        <w:footnoteRef/>
      </w:r>
      <w:r>
        <w:t xml:space="preserve"> </w:t>
      </w:r>
      <w:r w:rsidRPr="004A018B">
        <w:rPr>
          <w:rFonts w:cs="SourceSansPro-Regular"/>
          <w:color w:val="141414"/>
          <w:szCs w:val="20"/>
        </w:rPr>
        <w:t>Alexander, Larry and Moore, Michael, "Deontological Ethics", The Stan</w:t>
      </w:r>
      <w:r>
        <w:rPr>
          <w:rFonts w:cs="SourceSansPro-Regular"/>
          <w:color w:val="141414"/>
          <w:szCs w:val="20"/>
        </w:rPr>
        <w:t xml:space="preserve">ford Encyclopedia of Philosophy, </w:t>
      </w:r>
      <w:r w:rsidRPr="004A018B">
        <w:rPr>
          <w:rFonts w:cs="SourceSansPro-Regular"/>
          <w:color w:val="141414"/>
          <w:szCs w:val="20"/>
        </w:rPr>
        <w:t xml:space="preserve">Edward N. Zalta (ed.), </w:t>
      </w:r>
      <w:hyperlink r:id="rId5" w:anchor="Bib" w:history="1">
        <w:r w:rsidRPr="00D55AFB">
          <w:rPr>
            <w:rStyle w:val="Hyperlink"/>
            <w:rFonts w:cs="SourceSansPro-Regular"/>
            <w:szCs w:val="20"/>
          </w:rPr>
          <w:t>http://plato.stanford.edu/entries/ethics-deontological/#Bib</w:t>
        </w:r>
      </w:hyperlink>
    </w:p>
  </w:footnote>
  <w:footnote w:id="6">
    <w:p w14:paraId="29418F2E" w14:textId="5965B6A6" w:rsidR="00CF4114" w:rsidRDefault="00CF4114" w:rsidP="00867B1C">
      <w:pPr>
        <w:spacing w:after="0" w:line="240" w:lineRule="auto"/>
      </w:pPr>
      <w:r w:rsidRPr="00CF4114">
        <w:rPr>
          <w:rStyle w:val="FootnoteReference"/>
        </w:rPr>
        <w:footnoteRef/>
      </w:r>
      <w:r w:rsidRPr="00CF4114">
        <w:t xml:space="preserve"> </w:t>
      </w:r>
      <w:r w:rsidRPr="00CF4114">
        <w:rPr>
          <w:rFonts w:ascii="Helvetica" w:hAnsi="Helvetica"/>
          <w:sz w:val="20"/>
          <w:szCs w:val="20"/>
        </w:rPr>
        <w:t xml:space="preserve">McFarland, Michael, S.J., “Why We Care about Privacy”, Santa Clara University, June 1, 2012. </w:t>
      </w:r>
      <w:hyperlink r:id="rId6" w:history="1">
        <w:r w:rsidRPr="00CF4114">
          <w:rPr>
            <w:rStyle w:val="Hyperlink"/>
            <w:rFonts w:ascii="Helvetica" w:hAnsi="Helvetica"/>
            <w:sz w:val="20"/>
            <w:szCs w:val="20"/>
          </w:rPr>
          <w:t>http://www.scu.edu/ethics/practicing/focusareas/technology/internet/privacy/why-care-about-privacy.html</w:t>
        </w:r>
      </w:hyperlink>
    </w:p>
  </w:footnote>
  <w:footnote w:id="7">
    <w:p w14:paraId="7B15AAF6" w14:textId="37EC6037" w:rsidR="00867B1C" w:rsidRDefault="00867B1C" w:rsidP="00867B1C">
      <w:pPr>
        <w:pStyle w:val="FootnoteText"/>
      </w:pPr>
      <w:r>
        <w:rPr>
          <w:rStyle w:val="FootnoteReference"/>
        </w:rPr>
        <w:footnoteRef/>
      </w:r>
      <w:r>
        <w:t xml:space="preserve"> “Kant’s Ethics: Some Key Ideas.” </w:t>
      </w:r>
      <w:hyperlink r:id="rId7" w:history="1">
        <w:r w:rsidRPr="00785DAB">
          <w:rPr>
            <w:rStyle w:val="Hyperlink"/>
          </w:rPr>
          <w:t>http://www.trinity.edu/cbrown/intro/kant_ethics.html</w:t>
        </w:r>
      </w:hyperlink>
      <w:r>
        <w:t xml:space="preserve"> </w:t>
      </w:r>
    </w:p>
  </w:footnote>
  <w:footnote w:id="8">
    <w:p w14:paraId="7D057240" w14:textId="642FA48F" w:rsidR="001A3DE9" w:rsidRDefault="001A3DE9">
      <w:pPr>
        <w:pStyle w:val="FootnoteText"/>
      </w:pPr>
      <w:r>
        <w:rPr>
          <w:rStyle w:val="FootnoteReference"/>
        </w:rPr>
        <w:footnoteRef/>
      </w:r>
      <w:r>
        <w:t xml:space="preserve"> </w:t>
      </w:r>
      <w:r w:rsidR="00DB081A">
        <w:t xml:space="preserve">For a rather morbid exploration of Medieval torture techniques, see </w:t>
      </w:r>
      <w:hyperlink r:id="rId8" w:history="1">
        <w:r w:rsidR="00013A4C" w:rsidRPr="00785DAB">
          <w:rPr>
            <w:rStyle w:val="Hyperlink"/>
          </w:rPr>
          <w:t>http://www.medievalwarfare.info/torture.htm</w:t>
        </w:r>
      </w:hyperlink>
      <w:r w:rsidR="00DB081A">
        <w:t xml:space="preserve">. </w:t>
      </w:r>
    </w:p>
  </w:footnote>
  <w:footnote w:id="9">
    <w:p w14:paraId="1E2CE16D" w14:textId="5CA80B36" w:rsidR="00DB081A" w:rsidRPr="00DB081A" w:rsidRDefault="00DB081A">
      <w:pPr>
        <w:pStyle w:val="FootnoteText"/>
      </w:pPr>
      <w:r>
        <w:rPr>
          <w:rStyle w:val="FootnoteReference"/>
        </w:rPr>
        <w:footnoteRef/>
      </w:r>
      <w:r>
        <w:t xml:space="preserve"> Oliver Wendell Homes. </w:t>
      </w:r>
      <w:r>
        <w:rPr>
          <w:i/>
        </w:rPr>
        <w:t xml:space="preserve">The Common Law. </w:t>
      </w:r>
      <w:r>
        <w:t xml:space="preserve">Boston: Little Brown &amp; Co. 1881, page 41. </w:t>
      </w:r>
      <w:hyperlink r:id="rId9" w:history="1">
        <w:r w:rsidRPr="00451FCB">
          <w:rPr>
            <w:rStyle w:val="Hyperlink"/>
          </w:rPr>
          <w:t>https://books.google.com/books?id=xXouAAAAIAAJ</w:t>
        </w:r>
      </w:hyperlink>
      <w:r>
        <w:t xml:space="preserve"> </w:t>
      </w:r>
    </w:p>
  </w:footnote>
  <w:footnote w:id="10">
    <w:p w14:paraId="5433CC3E" w14:textId="422847EF" w:rsidR="00445CCC" w:rsidRPr="00445CCC" w:rsidRDefault="00794900" w:rsidP="00445CCC">
      <w:pPr>
        <w:pStyle w:val="FootnoteText"/>
        <w:rPr>
          <w:bCs/>
        </w:rPr>
      </w:pPr>
      <w:r>
        <w:rPr>
          <w:rStyle w:val="FootnoteReference"/>
        </w:rPr>
        <w:footnoteRef/>
      </w:r>
      <w:r>
        <w:t xml:space="preserve"> </w:t>
      </w:r>
      <w:r w:rsidR="00445CCC">
        <w:t>Doran Larson. “</w:t>
      </w:r>
      <w:r w:rsidR="00445CCC" w:rsidRPr="00445CCC">
        <w:rPr>
          <w:bCs/>
        </w:rPr>
        <w:t>Why Scandinavian Prisons Are Superior.” The Atlantic, September 24, 2013.</w:t>
      </w:r>
    </w:p>
    <w:p w14:paraId="576A809C" w14:textId="47E6C458" w:rsidR="00794900" w:rsidRDefault="00F74ACD">
      <w:pPr>
        <w:pStyle w:val="FootnoteText"/>
      </w:pPr>
      <w:hyperlink r:id="rId10" w:history="1">
        <w:r w:rsidR="00794900" w:rsidRPr="00785DAB">
          <w:rPr>
            <w:rStyle w:val="Hyperlink"/>
          </w:rPr>
          <w:t>http://www.theatlantic.com/international/archive/2013/09/why-scandinavian-prisons-are-superior/279949/</w:t>
        </w:r>
      </w:hyperlink>
      <w:r w:rsidR="00794900">
        <w:t xml:space="preserve"> </w:t>
      </w:r>
    </w:p>
  </w:footnote>
  <w:footnote w:id="11">
    <w:p w14:paraId="542DACCD" w14:textId="64BE0D3A" w:rsidR="00E95F1A" w:rsidRDefault="00E95F1A">
      <w:pPr>
        <w:pStyle w:val="FootnoteText"/>
      </w:pPr>
      <w:r>
        <w:rPr>
          <w:rStyle w:val="FootnoteReference"/>
        </w:rPr>
        <w:footnoteRef/>
      </w:r>
      <w:r>
        <w:t xml:space="preserve"> Stanford Encyclopedia of Philosophy, “Retributive Justice.” </w:t>
      </w:r>
      <w:hyperlink r:id="rId11" w:history="1">
        <w:r w:rsidRPr="00785DAB">
          <w:rPr>
            <w:rStyle w:val="Hyperlink"/>
          </w:rPr>
          <w:t>http://plato.stanford.edu/entries/justice-retributive/</w:t>
        </w:r>
      </w:hyperlink>
      <w:r>
        <w:t xml:space="preserve"> </w:t>
      </w:r>
    </w:p>
  </w:footnote>
  <w:footnote w:id="12">
    <w:p w14:paraId="7C4ABE4D" w14:textId="0B35D49D" w:rsidR="00E95F1A" w:rsidRDefault="00E95F1A">
      <w:pPr>
        <w:pStyle w:val="FootnoteText"/>
      </w:pPr>
      <w:r>
        <w:rPr>
          <w:rStyle w:val="FootnoteReference"/>
        </w:rPr>
        <w:footnoteRef/>
      </w:r>
      <w:r w:rsidR="006C70B8">
        <w:t xml:space="preserve"> Merriam-Webster Dictionary, “Retribution,” 2016.</w:t>
      </w:r>
      <w:r>
        <w:t xml:space="preserve"> </w:t>
      </w:r>
      <w:hyperlink r:id="rId12" w:history="1">
        <w:r w:rsidR="006C70B8" w:rsidRPr="00785DAB">
          <w:rPr>
            <w:rStyle w:val="Hyperlink"/>
          </w:rPr>
          <w:t>http://www.merriam-webster.com/dictionary/retribution</w:t>
        </w:r>
      </w:hyperlink>
      <w:r w:rsidR="006C70B8">
        <w:t xml:space="preserve"> </w:t>
      </w:r>
    </w:p>
  </w:footnote>
  <w:footnote w:id="13">
    <w:p w14:paraId="119857A4" w14:textId="6FBA2636" w:rsidR="006C70B8" w:rsidRDefault="006C70B8">
      <w:pPr>
        <w:pStyle w:val="FootnoteText"/>
      </w:pPr>
      <w:r>
        <w:rPr>
          <w:rStyle w:val="FootnoteReference"/>
        </w:rPr>
        <w:footnoteRef/>
      </w:r>
      <w:r>
        <w:t xml:space="preserve"> Dictionary.com, “Retribution,” 2016. </w:t>
      </w:r>
      <w:hyperlink r:id="rId13" w:history="1">
        <w:r w:rsidRPr="00785DAB">
          <w:rPr>
            <w:rStyle w:val="Hyperlink"/>
          </w:rPr>
          <w:t>http://www.dictionary.com/browse/retribution</w:t>
        </w:r>
      </w:hyperlink>
    </w:p>
  </w:footnote>
  <w:footnote w:id="14">
    <w:p w14:paraId="54A59E94" w14:textId="2B838316" w:rsidR="00C4341B" w:rsidRDefault="00C4341B">
      <w:pPr>
        <w:pStyle w:val="FootnoteText"/>
      </w:pPr>
      <w:r>
        <w:rPr>
          <w:rStyle w:val="FootnoteReference"/>
        </w:rPr>
        <w:footnoteRef/>
      </w:r>
      <w:r>
        <w:t xml:space="preserve"> </w:t>
      </w:r>
      <w:r w:rsidR="00E95F1A">
        <w:t xml:space="preserve">Lewis, C.S. “The Humanitarian Theory of Punishment.” </w:t>
      </w:r>
      <w:hyperlink r:id="rId14" w:history="1">
        <w:r w:rsidR="00E95F1A" w:rsidRPr="00785DAB">
          <w:rPr>
            <w:rStyle w:val="Hyperlink"/>
          </w:rPr>
          <w:t>https://ojs.lib.byu.edu/spc/index.php/IssuesInReligionAndPsychotherapy/article/viewFile/273/272</w:t>
        </w:r>
      </w:hyperlink>
      <w:r w:rsidR="00E95F1A">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E5858" w14:textId="3BBBA5E7" w:rsidR="00AF326B" w:rsidRPr="00F93E85" w:rsidRDefault="00F93E85"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sidRPr="00F93E85">
      <w:rPr>
        <w:i/>
        <w:sz w:val="20"/>
        <w:szCs w:val="20"/>
      </w:rPr>
      <w:t xml:space="preserve">Resolved: </w:t>
    </w:r>
    <w:r w:rsidR="00D31E7C">
      <w:rPr>
        <w:i/>
        <w:sz w:val="20"/>
        <w:szCs w:val="20"/>
      </w:rPr>
      <w:t>Rehabilitation ought to be valued above retribution in criminal justice systems.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132241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8B281044"/>
    <w:lvl w:ilvl="0">
      <w:start w:val="1"/>
      <w:numFmt w:val="decimal"/>
      <w:lvlText w:val="%1."/>
      <w:lvlJc w:val="left"/>
      <w:pPr>
        <w:tabs>
          <w:tab w:val="num" w:pos="1800"/>
        </w:tabs>
        <w:ind w:left="1800" w:hanging="360"/>
      </w:pPr>
    </w:lvl>
  </w:abstractNum>
  <w:abstractNum w:abstractNumId="2">
    <w:nsid w:val="FFFFFF7D"/>
    <w:multiLevelType w:val="singleLevel"/>
    <w:tmpl w:val="6A64EA32"/>
    <w:lvl w:ilvl="0">
      <w:start w:val="1"/>
      <w:numFmt w:val="decimal"/>
      <w:lvlText w:val="%1."/>
      <w:lvlJc w:val="left"/>
      <w:pPr>
        <w:tabs>
          <w:tab w:val="num" w:pos="1440"/>
        </w:tabs>
        <w:ind w:left="1440" w:hanging="360"/>
      </w:pPr>
    </w:lvl>
  </w:abstractNum>
  <w:abstractNum w:abstractNumId="3">
    <w:nsid w:val="FFFFFF7E"/>
    <w:multiLevelType w:val="singleLevel"/>
    <w:tmpl w:val="0EF89826"/>
    <w:lvl w:ilvl="0">
      <w:start w:val="1"/>
      <w:numFmt w:val="decimal"/>
      <w:lvlText w:val="%1."/>
      <w:lvlJc w:val="left"/>
      <w:pPr>
        <w:tabs>
          <w:tab w:val="num" w:pos="1080"/>
        </w:tabs>
        <w:ind w:left="1080" w:hanging="360"/>
      </w:pPr>
    </w:lvl>
  </w:abstractNum>
  <w:abstractNum w:abstractNumId="4">
    <w:nsid w:val="FFFFFF7F"/>
    <w:multiLevelType w:val="singleLevel"/>
    <w:tmpl w:val="7802774A"/>
    <w:lvl w:ilvl="0">
      <w:start w:val="1"/>
      <w:numFmt w:val="decimal"/>
      <w:lvlText w:val="%1."/>
      <w:lvlJc w:val="left"/>
      <w:pPr>
        <w:tabs>
          <w:tab w:val="num" w:pos="720"/>
        </w:tabs>
        <w:ind w:left="720" w:hanging="360"/>
      </w:pPr>
    </w:lvl>
  </w:abstractNum>
  <w:abstractNum w:abstractNumId="5">
    <w:nsid w:val="FFFFFF80"/>
    <w:multiLevelType w:val="singleLevel"/>
    <w:tmpl w:val="CAEE96E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2CE666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AB30E65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5C0492A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C9DA5790"/>
    <w:lvl w:ilvl="0">
      <w:start w:val="1"/>
      <w:numFmt w:val="decimal"/>
      <w:lvlText w:val="%1."/>
      <w:lvlJc w:val="left"/>
      <w:pPr>
        <w:tabs>
          <w:tab w:val="num" w:pos="360"/>
        </w:tabs>
        <w:ind w:left="360" w:hanging="360"/>
      </w:pPr>
    </w:lvl>
  </w:abstractNum>
  <w:abstractNum w:abstractNumId="10">
    <w:nsid w:val="FFFFFF89"/>
    <w:multiLevelType w:val="singleLevel"/>
    <w:tmpl w:val="D376D4B0"/>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multilevel"/>
    <w:tmpl w:val="894EE873"/>
    <w:lvl w:ilvl="0">
      <w:start w:val="1"/>
      <w:numFmt w:val="decimal"/>
      <w:isLgl/>
      <w:lvlText w:val="%1."/>
      <w:lvlJc w:val="left"/>
      <w:pPr>
        <w:tabs>
          <w:tab w:val="num" w:pos="240"/>
        </w:tabs>
        <w:ind w:left="240" w:firstLine="0"/>
      </w:pPr>
      <w:rPr>
        <w:rFonts w:hint="default"/>
        <w:position w:val="0"/>
        <w:sz w:val="22"/>
      </w:rPr>
    </w:lvl>
    <w:lvl w:ilvl="1">
      <w:start w:val="1"/>
      <w:numFmt w:val="lowerLetter"/>
      <w:suff w:val="nothing"/>
      <w:lvlText w:val="%2."/>
      <w:lvlJc w:val="left"/>
      <w:pPr>
        <w:ind w:left="0" w:firstLine="600"/>
      </w:pPr>
      <w:rPr>
        <w:rFonts w:hint="default"/>
        <w:position w:val="0"/>
        <w:sz w:val="22"/>
      </w:rPr>
    </w:lvl>
    <w:lvl w:ilvl="2">
      <w:start w:val="1"/>
      <w:numFmt w:val="lowerRoman"/>
      <w:suff w:val="nothing"/>
      <w:lvlText w:val="%3."/>
      <w:lvlJc w:val="left"/>
      <w:pPr>
        <w:ind w:left="0" w:firstLine="960"/>
      </w:pPr>
      <w:rPr>
        <w:rFonts w:hint="default"/>
        <w:position w:val="0"/>
        <w:sz w:val="22"/>
      </w:rPr>
    </w:lvl>
    <w:lvl w:ilvl="3">
      <w:start w:val="1"/>
      <w:numFmt w:val="decimal"/>
      <w:isLgl/>
      <w:suff w:val="nothing"/>
      <w:lvlText w:val="%4."/>
      <w:lvlJc w:val="left"/>
      <w:pPr>
        <w:ind w:left="0" w:firstLine="1320"/>
      </w:pPr>
      <w:rPr>
        <w:rFonts w:hint="default"/>
        <w:position w:val="0"/>
        <w:sz w:val="22"/>
      </w:rPr>
    </w:lvl>
    <w:lvl w:ilvl="4">
      <w:start w:val="1"/>
      <w:numFmt w:val="lowerLetter"/>
      <w:suff w:val="nothing"/>
      <w:lvlText w:val="%5."/>
      <w:lvlJc w:val="left"/>
      <w:pPr>
        <w:ind w:left="0" w:firstLine="1680"/>
      </w:pPr>
      <w:rPr>
        <w:rFonts w:hint="default"/>
        <w:position w:val="0"/>
        <w:sz w:val="22"/>
      </w:rPr>
    </w:lvl>
    <w:lvl w:ilvl="5">
      <w:start w:val="1"/>
      <w:numFmt w:val="lowerRoman"/>
      <w:suff w:val="nothing"/>
      <w:lvlText w:val="%6."/>
      <w:lvlJc w:val="left"/>
      <w:pPr>
        <w:ind w:left="0" w:firstLine="2040"/>
      </w:pPr>
      <w:rPr>
        <w:rFonts w:hint="default"/>
        <w:position w:val="0"/>
        <w:sz w:val="22"/>
      </w:rPr>
    </w:lvl>
    <w:lvl w:ilvl="6">
      <w:start w:val="1"/>
      <w:numFmt w:val="decimal"/>
      <w:isLgl/>
      <w:suff w:val="nothing"/>
      <w:lvlText w:val="%7."/>
      <w:lvlJc w:val="left"/>
      <w:pPr>
        <w:ind w:left="0" w:firstLine="2400"/>
      </w:pPr>
      <w:rPr>
        <w:rFonts w:hint="default"/>
        <w:position w:val="0"/>
        <w:sz w:val="22"/>
      </w:rPr>
    </w:lvl>
    <w:lvl w:ilvl="7">
      <w:start w:val="1"/>
      <w:numFmt w:val="lowerLetter"/>
      <w:suff w:val="nothing"/>
      <w:lvlText w:val="%8."/>
      <w:lvlJc w:val="left"/>
      <w:pPr>
        <w:ind w:left="0" w:firstLine="2760"/>
      </w:pPr>
      <w:rPr>
        <w:rFonts w:hint="default"/>
        <w:position w:val="0"/>
        <w:sz w:val="22"/>
      </w:rPr>
    </w:lvl>
    <w:lvl w:ilvl="8">
      <w:start w:val="1"/>
      <w:numFmt w:val="lowerRoman"/>
      <w:suff w:val="nothing"/>
      <w:lvlText w:val="%9."/>
      <w:lvlJc w:val="left"/>
      <w:pPr>
        <w:ind w:left="0" w:firstLine="3120"/>
      </w:pPr>
      <w:rPr>
        <w:rFonts w:hint="default"/>
        <w:position w:val="0"/>
        <w:sz w:val="22"/>
      </w:rPr>
    </w:lvl>
  </w:abstractNum>
  <w:abstractNum w:abstractNumId="12">
    <w:nsid w:val="0EE10A22"/>
    <w:multiLevelType w:val="hybridMultilevel"/>
    <w:tmpl w:val="BAA24B3A"/>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3">
    <w:nsid w:val="221B24A6"/>
    <w:multiLevelType w:val="hybridMultilevel"/>
    <w:tmpl w:val="389AF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85B52D9"/>
    <w:multiLevelType w:val="hybridMultilevel"/>
    <w:tmpl w:val="046A9334"/>
    <w:lvl w:ilvl="0" w:tplc="FCAE19EC">
      <w:start w:val="1"/>
      <w:numFmt w:val="decimal"/>
      <w:pStyle w:val="RedBookContentions"/>
      <w:lvlText w:val="%1."/>
      <w:lvlJc w:val="left"/>
      <w:pPr>
        <w:tabs>
          <w:tab w:val="num" w:pos="360"/>
        </w:tabs>
        <w:ind w:left="360" w:hanging="360"/>
      </w:pPr>
      <w:rPr>
        <w:b/>
        <w:i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A6EE50">
      <w:start w:val="1"/>
      <w:numFmt w:val="lowerLetter"/>
      <w:lvlText w:val="%2."/>
      <w:lvlJc w:val="left"/>
      <w:pPr>
        <w:tabs>
          <w:tab w:val="num" w:pos="1080"/>
        </w:tabs>
        <w:ind w:left="1080" w:hanging="360"/>
      </w:pPr>
      <w:rPr>
        <w:b/>
        <w:sz w:val="24"/>
      </w:rPr>
    </w:lvl>
    <w:lvl w:ilvl="2" w:tplc="001B0409">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 w:numId="12">
    <w:abstractNumId w:val="14"/>
  </w:num>
  <w:num w:numId="13">
    <w:abstractNumId w:val="11"/>
  </w:num>
  <w:num w:numId="14">
    <w:abstractNumId w:val="14"/>
    <w:lvlOverride w:ilvl="0">
      <w:startOverride w:val="1"/>
    </w:lvlOverride>
  </w:num>
  <w:num w:numId="15">
    <w:abstractNumId w:val="1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E21"/>
    <w:rsid w:val="00010029"/>
    <w:rsid w:val="00013A4C"/>
    <w:rsid w:val="00020983"/>
    <w:rsid w:val="00020D58"/>
    <w:rsid w:val="00026EAC"/>
    <w:rsid w:val="0005121A"/>
    <w:rsid w:val="00053E2A"/>
    <w:rsid w:val="00091681"/>
    <w:rsid w:val="0009709B"/>
    <w:rsid w:val="000C7C52"/>
    <w:rsid w:val="000E08D6"/>
    <w:rsid w:val="000E0FD7"/>
    <w:rsid w:val="0012035A"/>
    <w:rsid w:val="00125916"/>
    <w:rsid w:val="00141129"/>
    <w:rsid w:val="00184DD1"/>
    <w:rsid w:val="001A3DE9"/>
    <w:rsid w:val="001B0371"/>
    <w:rsid w:val="00201E08"/>
    <w:rsid w:val="0022293A"/>
    <w:rsid w:val="00226A58"/>
    <w:rsid w:val="00260198"/>
    <w:rsid w:val="002643EC"/>
    <w:rsid w:val="00292EE6"/>
    <w:rsid w:val="002A11CF"/>
    <w:rsid w:val="002B04E4"/>
    <w:rsid w:val="002B7BA8"/>
    <w:rsid w:val="002C51B6"/>
    <w:rsid w:val="002E0E21"/>
    <w:rsid w:val="002F589C"/>
    <w:rsid w:val="00303218"/>
    <w:rsid w:val="003148CE"/>
    <w:rsid w:val="003168F6"/>
    <w:rsid w:val="00367CD9"/>
    <w:rsid w:val="00377CB3"/>
    <w:rsid w:val="00384877"/>
    <w:rsid w:val="00394FF7"/>
    <w:rsid w:val="003A6D29"/>
    <w:rsid w:val="003B66F3"/>
    <w:rsid w:val="003C1A8E"/>
    <w:rsid w:val="003E05CE"/>
    <w:rsid w:val="00445CCC"/>
    <w:rsid w:val="004A018B"/>
    <w:rsid w:val="004B0DAE"/>
    <w:rsid w:val="004C2154"/>
    <w:rsid w:val="004F6A69"/>
    <w:rsid w:val="00500168"/>
    <w:rsid w:val="00514490"/>
    <w:rsid w:val="0053607D"/>
    <w:rsid w:val="005560A1"/>
    <w:rsid w:val="00571CCF"/>
    <w:rsid w:val="005901B3"/>
    <w:rsid w:val="00594CAC"/>
    <w:rsid w:val="005C469E"/>
    <w:rsid w:val="005D4125"/>
    <w:rsid w:val="005E463F"/>
    <w:rsid w:val="005F53C5"/>
    <w:rsid w:val="0061293E"/>
    <w:rsid w:val="00622B22"/>
    <w:rsid w:val="00626537"/>
    <w:rsid w:val="00637079"/>
    <w:rsid w:val="00666DEF"/>
    <w:rsid w:val="006C70B8"/>
    <w:rsid w:val="00704B23"/>
    <w:rsid w:val="00751A8E"/>
    <w:rsid w:val="00767189"/>
    <w:rsid w:val="0077524E"/>
    <w:rsid w:val="0078498E"/>
    <w:rsid w:val="00794900"/>
    <w:rsid w:val="007E10F2"/>
    <w:rsid w:val="008411E4"/>
    <w:rsid w:val="00867B1C"/>
    <w:rsid w:val="0087556D"/>
    <w:rsid w:val="008C2730"/>
    <w:rsid w:val="008E1299"/>
    <w:rsid w:val="0091268F"/>
    <w:rsid w:val="00956CC1"/>
    <w:rsid w:val="00964517"/>
    <w:rsid w:val="009750CF"/>
    <w:rsid w:val="00980ABC"/>
    <w:rsid w:val="009945B0"/>
    <w:rsid w:val="009A4E28"/>
    <w:rsid w:val="009B0632"/>
    <w:rsid w:val="009B1420"/>
    <w:rsid w:val="00A06166"/>
    <w:rsid w:val="00A369D1"/>
    <w:rsid w:val="00A545E4"/>
    <w:rsid w:val="00A64A7B"/>
    <w:rsid w:val="00AC2437"/>
    <w:rsid w:val="00AD4E41"/>
    <w:rsid w:val="00AE326D"/>
    <w:rsid w:val="00AF326B"/>
    <w:rsid w:val="00B1379A"/>
    <w:rsid w:val="00B75C99"/>
    <w:rsid w:val="00B877E4"/>
    <w:rsid w:val="00BA59EE"/>
    <w:rsid w:val="00BE29BF"/>
    <w:rsid w:val="00C17E13"/>
    <w:rsid w:val="00C224D5"/>
    <w:rsid w:val="00C4341B"/>
    <w:rsid w:val="00C826C8"/>
    <w:rsid w:val="00CB7849"/>
    <w:rsid w:val="00CC6033"/>
    <w:rsid w:val="00CC6353"/>
    <w:rsid w:val="00CF4114"/>
    <w:rsid w:val="00D11DFF"/>
    <w:rsid w:val="00D13A26"/>
    <w:rsid w:val="00D21ED1"/>
    <w:rsid w:val="00D31E7C"/>
    <w:rsid w:val="00D34021"/>
    <w:rsid w:val="00D362AB"/>
    <w:rsid w:val="00DB081A"/>
    <w:rsid w:val="00DB7A1F"/>
    <w:rsid w:val="00E061E0"/>
    <w:rsid w:val="00E14960"/>
    <w:rsid w:val="00E30879"/>
    <w:rsid w:val="00E34A6E"/>
    <w:rsid w:val="00E370E3"/>
    <w:rsid w:val="00E832D6"/>
    <w:rsid w:val="00E95F1A"/>
    <w:rsid w:val="00EA495E"/>
    <w:rsid w:val="00EB042A"/>
    <w:rsid w:val="00EB3B00"/>
    <w:rsid w:val="00EF72F4"/>
    <w:rsid w:val="00F13DC7"/>
    <w:rsid w:val="00F15E1B"/>
    <w:rsid w:val="00F65F68"/>
    <w:rsid w:val="00F74ACD"/>
    <w:rsid w:val="00F77CD3"/>
    <w:rsid w:val="00F93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899A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0E21"/>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2E0E21"/>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2E0E21"/>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E0E21"/>
    <w:pPr>
      <w:tabs>
        <w:tab w:val="center" w:pos="4680"/>
        <w:tab w:val="right" w:pos="9360"/>
      </w:tabs>
    </w:pPr>
  </w:style>
  <w:style w:type="character" w:customStyle="1" w:styleId="FooterChar">
    <w:name w:val="Footer Char"/>
    <w:basedOn w:val="DefaultParagraphFont"/>
    <w:link w:val="Footer"/>
    <w:uiPriority w:val="99"/>
    <w:rsid w:val="002E0E21"/>
  </w:style>
  <w:style w:type="character" w:styleId="Hyperlink">
    <w:name w:val="Hyperlink"/>
    <w:rsid w:val="002E0E21"/>
    <w:rPr>
      <w:b w:val="0"/>
      <w:bCs w:val="0"/>
      <w:i w:val="0"/>
      <w:iCs w:val="0"/>
      <w:color w:val="7F7F7F" w:themeColor="text1" w:themeTint="80"/>
      <w:u w:val="dotted" w:color="7F7F7F" w:themeColor="text1" w:themeTint="80"/>
    </w:rPr>
  </w:style>
  <w:style w:type="paragraph" w:styleId="FootnoteText">
    <w:name w:val="footnote text"/>
    <w:link w:val="FootnoteTextChar"/>
    <w:rsid w:val="002E0E21"/>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2E0E21"/>
    <w:rPr>
      <w:rFonts w:ascii="Helvetica" w:eastAsia="Helvetica" w:hAnsi="Helvetica" w:cs="Helvetica"/>
      <w:color w:val="000000"/>
      <w:sz w:val="20"/>
      <w:bdr w:val="nil"/>
    </w:rPr>
  </w:style>
  <w:style w:type="character" w:styleId="FootnoteReference">
    <w:name w:val="footnote reference"/>
    <w:rsid w:val="002E0E21"/>
    <w:rPr>
      <w:color w:val="000000"/>
      <w:sz w:val="20"/>
      <w:szCs w:val="20"/>
      <w:vertAlign w:val="superscript"/>
    </w:rPr>
  </w:style>
  <w:style w:type="paragraph" w:customStyle="1" w:styleId="Red-Title">
    <w:name w:val="Red - Title"/>
    <w:basedOn w:val="Normal"/>
    <w:qFormat/>
    <w:rsid w:val="005F53C5"/>
    <w:pPr>
      <w:pageBreakBefore/>
      <w:shd w:val="clear" w:color="F2F2F2" w:themeColor="background1" w:themeShade="F2" w:fill="auto"/>
      <w:ind w:left="-720" w:right="-720"/>
      <w:jc w:val="center"/>
    </w:pPr>
    <w:rPr>
      <w:bCs/>
      <w:smallCaps/>
      <w:sz w:val="44"/>
      <w:szCs w:val="32"/>
    </w:rPr>
  </w:style>
  <w:style w:type="character" w:customStyle="1" w:styleId="Heading1Char">
    <w:name w:val="Heading 1 Char"/>
    <w:basedOn w:val="DefaultParagraphFont"/>
    <w:link w:val="Heading1"/>
    <w:uiPriority w:val="9"/>
    <w:rsid w:val="002E0E21"/>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2E0E21"/>
    <w:rPr>
      <w:rFonts w:eastAsiaTheme="majorEastAsia" w:cstheme="majorBidi"/>
      <w:b/>
      <w:sz w:val="26"/>
      <w:szCs w:val="26"/>
    </w:rPr>
  </w:style>
  <w:style w:type="paragraph" w:customStyle="1" w:styleId="RedBookBody">
    <w:name w:val="Red Book Body"/>
    <w:basedOn w:val="Normal"/>
    <w:rsid w:val="002E0E21"/>
    <w:pPr>
      <w:spacing w:after="200" w:line="240" w:lineRule="auto"/>
    </w:pPr>
    <w:rPr>
      <w:rFonts w:eastAsia="Times New Roman" w:cs="Helvetica"/>
      <w:szCs w:val="22"/>
      <w:lang w:bidi="en-US"/>
    </w:rPr>
  </w:style>
  <w:style w:type="paragraph" w:customStyle="1" w:styleId="RedBookContentions">
    <w:name w:val="Red Book Contentions"/>
    <w:basedOn w:val="Normal"/>
    <w:rsid w:val="002E0E21"/>
    <w:pPr>
      <w:keepNext/>
      <w:numPr>
        <w:numId w:val="12"/>
      </w:numPr>
      <w:spacing w:after="120" w:line="240" w:lineRule="auto"/>
    </w:pPr>
    <w:rPr>
      <w:rFonts w:eastAsia="Times New Roman" w:cs="Helvetica"/>
      <w:b/>
      <w:bCs/>
      <w:szCs w:val="22"/>
      <w:lang w:bidi="en-US"/>
    </w:rPr>
  </w:style>
  <w:style w:type="paragraph" w:customStyle="1" w:styleId="RedBookCaseArticleHeading">
    <w:name w:val="Red Book Case/Article Heading"/>
    <w:basedOn w:val="Normal"/>
    <w:rsid w:val="002E0E21"/>
    <w:pPr>
      <w:pageBreakBefore/>
      <w:pBdr>
        <w:bottom w:val="threeDEngrave" w:sz="24" w:space="0" w:color="000000"/>
      </w:pBdr>
      <w:spacing w:after="0" w:line="276" w:lineRule="auto"/>
      <w:jc w:val="right"/>
    </w:pPr>
    <w:rPr>
      <w:rFonts w:ascii="Arial" w:eastAsia="Times New Roman" w:hAnsi="Arial" w:cs="Helvetica"/>
      <w:sz w:val="48"/>
      <w:szCs w:val="20"/>
      <w:lang w:bidi="en-US"/>
    </w:rPr>
  </w:style>
  <w:style w:type="paragraph" w:customStyle="1" w:styleId="RedBookChapterBylineHeading">
    <w:name w:val="Red Book Chapter Byline Heading"/>
    <w:basedOn w:val="Normal"/>
    <w:rsid w:val="002E0E21"/>
    <w:pPr>
      <w:spacing w:line="276" w:lineRule="auto"/>
      <w:jc w:val="right"/>
    </w:pPr>
    <w:rPr>
      <w:rFonts w:ascii="Arial" w:eastAsia="Times New Roman" w:hAnsi="Arial" w:cs="Helvetica"/>
      <w:b/>
      <w:bCs/>
      <w:i/>
      <w:sz w:val="22"/>
      <w:szCs w:val="22"/>
      <w:lang w:bidi="en-US"/>
    </w:rPr>
  </w:style>
  <w:style w:type="paragraph" w:customStyle="1" w:styleId="RedBookChapterSubheading">
    <w:name w:val="Red Book Chapter Subheading"/>
    <w:basedOn w:val="Normal"/>
    <w:rsid w:val="002E0E21"/>
    <w:pPr>
      <w:keepNext/>
      <w:spacing w:after="80" w:line="276" w:lineRule="auto"/>
      <w:ind w:left="-360"/>
    </w:pPr>
    <w:rPr>
      <w:rFonts w:ascii="Arial" w:eastAsia="Times New Roman" w:hAnsi="Arial" w:cs="Helvetica"/>
      <w:b/>
      <w:noProof/>
      <w:sz w:val="32"/>
      <w:szCs w:val="20"/>
      <w:lang w:bidi="en-US"/>
    </w:rPr>
  </w:style>
  <w:style w:type="paragraph" w:customStyle="1" w:styleId="RedBookChapterSubtitleHeading">
    <w:name w:val="Red Book Chapter Subtitle Heading"/>
    <w:basedOn w:val="Normal"/>
    <w:rsid w:val="002E0E21"/>
    <w:pPr>
      <w:spacing w:after="0" w:line="276" w:lineRule="auto"/>
      <w:jc w:val="right"/>
    </w:pPr>
    <w:rPr>
      <w:rFonts w:ascii="Arial" w:eastAsia="Times New Roman" w:hAnsi="Arial" w:cs="Helvetica"/>
      <w:i/>
      <w:sz w:val="20"/>
      <w:szCs w:val="22"/>
      <w:lang w:bidi="en-US"/>
    </w:rPr>
  </w:style>
  <w:style w:type="paragraph" w:customStyle="1" w:styleId="Red-Byline">
    <w:name w:val="Red - Byline"/>
    <w:basedOn w:val="Normal"/>
    <w:qFormat/>
    <w:rsid w:val="00F93E85"/>
    <w:pPr>
      <w:spacing w:before="240"/>
      <w:contextualSpacing/>
      <w:jc w:val="center"/>
    </w:pPr>
    <w:rPr>
      <w:i/>
    </w:rPr>
  </w:style>
  <w:style w:type="paragraph" w:styleId="Header">
    <w:name w:val="header"/>
    <w:basedOn w:val="Normal"/>
    <w:link w:val="HeaderChar"/>
    <w:uiPriority w:val="99"/>
    <w:unhideWhenUsed/>
    <w:rsid w:val="00F93E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E85"/>
    <w:rPr>
      <w:rFonts w:ascii="Times New Roman" w:hAnsi="Times New Roman" w:cs="Times New Roman"/>
    </w:rPr>
  </w:style>
  <w:style w:type="paragraph" w:styleId="ListParagraph">
    <w:name w:val="List Paragraph"/>
    <w:basedOn w:val="Normal"/>
    <w:uiPriority w:val="34"/>
    <w:qFormat/>
    <w:rsid w:val="00A369D1"/>
    <w:pPr>
      <w:ind w:left="720"/>
      <w:contextualSpacing/>
    </w:pPr>
  </w:style>
  <w:style w:type="paragraph" w:customStyle="1" w:styleId="Red-Summary">
    <w:name w:val="Red - Summary"/>
    <w:basedOn w:val="RedBookBody"/>
    <w:qFormat/>
    <w:rsid w:val="005F53C5"/>
    <w:pPr>
      <w:pBdr>
        <w:top w:val="single" w:sz="6" w:space="1" w:color="auto"/>
        <w:left w:val="single" w:sz="6" w:space="4" w:color="auto"/>
        <w:bottom w:val="single" w:sz="6" w:space="1" w:color="auto"/>
        <w:right w:val="single" w:sz="6" w:space="4" w:color="auto"/>
      </w:pBdr>
    </w:pPr>
    <w:rPr>
      <w:bCs/>
    </w:rPr>
  </w:style>
  <w:style w:type="character" w:styleId="FollowedHyperlink">
    <w:name w:val="FollowedHyperlink"/>
    <w:basedOn w:val="DefaultParagraphFont"/>
    <w:uiPriority w:val="99"/>
    <w:semiHidden/>
    <w:unhideWhenUsed/>
    <w:rsid w:val="004A018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706590">
      <w:bodyDiv w:val="1"/>
      <w:marLeft w:val="0"/>
      <w:marRight w:val="0"/>
      <w:marTop w:val="0"/>
      <w:marBottom w:val="0"/>
      <w:divBdr>
        <w:top w:val="none" w:sz="0" w:space="0" w:color="auto"/>
        <w:left w:val="none" w:sz="0" w:space="0" w:color="auto"/>
        <w:bottom w:val="none" w:sz="0" w:space="0" w:color="auto"/>
        <w:right w:val="none" w:sz="0" w:space="0" w:color="auto"/>
      </w:divBdr>
    </w:div>
    <w:div w:id="97506671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11" Type="http://schemas.openxmlformats.org/officeDocument/2006/relationships/hyperlink" Target="http://plato.stanford.edu/entries/justice-retributive/" TargetMode="External"/><Relationship Id="rId12" Type="http://schemas.openxmlformats.org/officeDocument/2006/relationships/hyperlink" Target="http://www.merriam-webster.com/dictionary/retribution" TargetMode="External"/><Relationship Id="rId13" Type="http://schemas.openxmlformats.org/officeDocument/2006/relationships/hyperlink" Target="http://www.dictionary.com/browse/retribution" TargetMode="External"/><Relationship Id="rId14" Type="http://schemas.openxmlformats.org/officeDocument/2006/relationships/hyperlink" Target="https://ojs.lib.byu.edu/spc/index.php/IssuesInReligionAndPsychotherapy/article/viewFile/273/272" TargetMode="External"/><Relationship Id="rId1" Type="http://schemas.openxmlformats.org/officeDocument/2006/relationships/hyperlink" Target="http://www.goodreads.com/work/quotes/320469" TargetMode="External"/><Relationship Id="rId2" Type="http://schemas.openxmlformats.org/officeDocument/2006/relationships/hyperlink" Target="http://www.merriam-webster.com/dictionary/rehabilitation" TargetMode="External"/><Relationship Id="rId3" Type="http://schemas.openxmlformats.org/officeDocument/2006/relationships/hyperlink" Target="https://en.oxforddictionaries.com/definition/retribution" TargetMode="External"/><Relationship Id="rId4" Type="http://schemas.openxmlformats.org/officeDocument/2006/relationships/hyperlink" Target="https://en.oxforddictionaries.com/definition/deontology" TargetMode="External"/><Relationship Id="rId5" Type="http://schemas.openxmlformats.org/officeDocument/2006/relationships/hyperlink" Target="http://plato.stanford.edu/entries/ethics-deontological/" TargetMode="External"/><Relationship Id="rId6" Type="http://schemas.openxmlformats.org/officeDocument/2006/relationships/hyperlink" Target="http://www.scu.edu/ethics/practicing/focusareas/technology/internet/privacy/why-care-about-privacy.html" TargetMode="External"/><Relationship Id="rId7" Type="http://schemas.openxmlformats.org/officeDocument/2006/relationships/hyperlink" Target="http://www.trinity.edu/cbrown/intro/kant_ethics.html" TargetMode="External"/><Relationship Id="rId8" Type="http://schemas.openxmlformats.org/officeDocument/2006/relationships/hyperlink" Target="http://www.medievalwarfare.info/torture.htm" TargetMode="External"/><Relationship Id="rId9" Type="http://schemas.openxmlformats.org/officeDocument/2006/relationships/hyperlink" Target="https://books.google.com/books?id=xXouAAAAIAAJ" TargetMode="External"/><Relationship Id="rId10" Type="http://schemas.openxmlformats.org/officeDocument/2006/relationships/hyperlink" Target="http://www.theatlantic.com/international/archive/2013/09/why-scandinavian-prisons-are-superior/27994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F42CE77-6BB4-494B-A3B0-DF84117D1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7</Pages>
  <Words>1352</Words>
  <Characters>7713</Characters>
  <Application>Microsoft Macintosh Word</Application>
  <DocSecurity>0</DocSecurity>
  <Lines>64</Lines>
  <Paragraphs>18</Paragraphs>
  <ScaleCrop>false</ScaleCrop>
  <HeadingPairs>
    <vt:vector size="4" baseType="variant">
      <vt:variant>
        <vt:lpstr>Title</vt:lpstr>
      </vt:variant>
      <vt:variant>
        <vt:i4>1</vt:i4>
      </vt:variant>
      <vt:variant>
        <vt:lpstr>Headings</vt:lpstr>
      </vt:variant>
      <vt:variant>
        <vt:i4>13</vt:i4>
      </vt:variant>
    </vt:vector>
  </HeadingPairs>
  <TitlesOfParts>
    <vt:vector size="14" baseType="lpstr">
      <vt:lpstr/>
      <vt:lpstr>Definitions</vt:lpstr>
      <vt:lpstr>Value: Deontology</vt:lpstr>
      <vt:lpstr>    Value Link: Morality is Primary</vt:lpstr>
      <vt:lpstr>Criterion: Respecting Human Dignity</vt:lpstr>
      <vt:lpstr>    Criterion Link 1: Moral Imperative</vt:lpstr>
      <vt:lpstr>    Criterion Link 2: Heart of Morality</vt:lpstr>
      <vt:lpstr>Contention 1: Retribution Is Inhumane</vt:lpstr>
      <vt:lpstr>    Sub-Point A: Retribution Has No Moral Limits</vt:lpstr>
      <vt:lpstr>    Application: Medieval Executions</vt:lpstr>
      <vt:lpstr>    Sub-Point B: Retribution Perpetuates Violence</vt:lpstr>
      <vt:lpstr>Contention 2: Rehabilitation Respects Human Dignity</vt:lpstr>
      <vt:lpstr>    Application: Norway</vt:lpstr>
      <vt:lpstr>Conclusion</vt:lpstr>
    </vt:vector>
  </TitlesOfParts>
  <LinksUpToDate>false</LinksUpToDate>
  <CharactersWithSpaces>9047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Jeub</dc:creator>
  <cp:keywords/>
  <dc:description/>
  <cp:lastModifiedBy>Chris Jeub</cp:lastModifiedBy>
  <cp:revision>5</cp:revision>
  <dcterms:created xsi:type="dcterms:W3CDTF">2016-10-28T09:49:00Z</dcterms:created>
  <dcterms:modified xsi:type="dcterms:W3CDTF">2016-11-23T14:26:00Z</dcterms:modified>
</cp:coreProperties>
</file>